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Kälkåsen i Bjurholms kommun</w:t>
      </w:r>
    </w:p>
    <w:p>
      <w:r>
        <w:t>Denna tillsynsbegäran behandlar höga naturvärden i avverkningsanmälan Kälkåsen i Bjurholms kommun som inkom 2026-07-19 och omfattar 58,4 ha.</w:t>
      </w:r>
    </w:p>
    <w:p>
      <w:pPr>
        <w:pStyle w:val="Caption"/>
      </w:pPr>
      <w:r>
        <w:drawing>
          <wp:inline xmlns:a="http://schemas.openxmlformats.org/drawingml/2006/main" xmlns:pic="http://schemas.openxmlformats.org/drawingml/2006/picture">
            <wp:extent cx="4707056" cy="5724000"/>
            <wp:docPr id="1" name="Picture 1"/>
            <wp:cNvGraphicFramePr>
              <a:graphicFrameLocks noChangeAspect="1"/>
            </wp:cNvGraphicFramePr>
            <a:graphic>
              <a:graphicData uri="http://schemas.openxmlformats.org/drawingml/2006/picture">
                <pic:pic>
                  <pic:nvPicPr>
                    <pic:cNvPr id="0" name="Kälkåsen karta.png"/>
                    <pic:cNvPicPr/>
                  </pic:nvPicPr>
                  <pic:blipFill>
                    <a:blip r:embed="rId16"/>
                    <a:stretch>
                      <a:fillRect/>
                    </a:stretch>
                  </pic:blipFill>
                  <pic:spPr>
                    <a:xfrm>
                      <a:off x="0" y="0"/>
                      <a:ext cx="470705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7092470, E 687599 i SWEREF 99 TM.</w:t>
      </w:r>
    </w:p>
    <w:p>
      <w:r>
        <w:t>I avverkningsanmälan finns fynd av 14 naturvårdsarter, varav 11 är rödlistade, 2 är fridlysta, 13 är typiska (T) och 3 är signalarter (S): fläckporing (VU, T), garnlav (VU, T), gräddporing (VU, T), knärot (VU, T, §8), dropptaggsvamp (NT, T), dvärgbägarlav (NT, T), gammelgransskål (NT, T), lunglav (NT, T), skarp dropptaggsvamp (NT), tretåig hackspett (NT, T, §4), vedskivlav (NT, T), luddlav (S, T), stuplav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0.44 ha med buffertzonerna och får av detta skäl inte avverkas.</w:t>
      </w:r>
    </w:p>
    <w:p>
      <w:pPr>
        <w:pStyle w:val="Caption"/>
      </w:pPr>
      <w:r>
        <w:drawing>
          <wp:inline xmlns:a="http://schemas.openxmlformats.org/drawingml/2006/main" xmlns:pic="http://schemas.openxmlformats.org/drawingml/2006/picture">
            <wp:extent cx="5486400" cy="9770761"/>
            <wp:docPr id="2" name="Picture 2"/>
            <wp:cNvGraphicFramePr>
              <a:graphicFrameLocks noChangeAspect="1"/>
            </wp:cNvGraphicFramePr>
            <a:graphic>
              <a:graphicData uri="http://schemas.openxmlformats.org/drawingml/2006/picture">
                <pic:pic>
                  <pic:nvPicPr>
                    <pic:cNvPr id="0" name="Kälkåsen karta knärot.png"/>
                    <pic:cNvPicPr/>
                  </pic:nvPicPr>
                  <pic:blipFill>
                    <a:blip r:embed="rId17"/>
                    <a:stretch>
                      <a:fillRect/>
                    </a:stretch>
                  </pic:blipFill>
                  <pic:spPr>
                    <a:xfrm>
                      <a:off x="0" y="0"/>
                      <a:ext cx="5486400" cy="977076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7092470, E 687599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garnlav (VU, T), gräddporing (VU, T), knärot (VU, T, §8), dropptaggsvamp (NT, T), dvärgbägarlav (NT, T), gammelgransskål (NT, T), lunglav (NT, T), tretåig hackspett (NT, T, §4), vedskivlav (NT, T), luddlav (S, T), stuplav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