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Lögdaselet i Bjurholms kommun</w:t>
      </w:r>
    </w:p>
    <w:p>
      <w:r>
        <w:t>Denna tillsynsbegäran behandlar höga naturvärden i avverkningsanmälan Lögdaselet i Bjurholms kommun som inkom 2026-07-15 och omfattar 166,5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Lögdaselet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7109364, E 678346 i SWEREF 99 TM.</w:t>
      </w:r>
    </w:p>
    <w:p>
      <w:r>
        <w:t>I avverkningsanmälan finns fynd av 18 naturvårdsarter, varav 12 är rödlistade, 5 är fridlysta, 12 är typiska (T) och 4 är signalarter (S): garnlav (VU, T), knärot (VU, T, §8), blanksvart spiklav (NT), dvärgbägarlav (NT, T), gammelgransskål (NT, T), liten svartspik (NT), lunglav (NT, T), mörk kolflarnlav (NT), tretåig hackspett (NT, T, §4), vedflamlav (NT), vedskivlav (NT, T), vitgrynig nållav (NT), luddlav (S, T), norrlandslav (S, T), spindelblomster (S, T, §8), stuplav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4034672"/>
            <wp:docPr id="2" name="Picture 2"/>
            <wp:cNvGraphicFramePr>
              <a:graphicFrameLocks noChangeAspect="1"/>
            </wp:cNvGraphicFramePr>
            <a:graphic>
              <a:graphicData uri="http://schemas.openxmlformats.org/drawingml/2006/picture">
                <pic:pic>
                  <pic:nvPicPr>
                    <pic:cNvPr id="0" name="Lögdaselet karta knärot.png"/>
                    <pic:cNvPicPr/>
                  </pic:nvPicPr>
                  <pic:blipFill>
                    <a:blip r:embed="rId17"/>
                    <a:stretch>
                      <a:fillRect/>
                    </a:stretch>
                  </pic:blipFill>
                  <pic:spPr>
                    <a:xfrm>
                      <a:off x="0" y="0"/>
                      <a:ext cx="5486400" cy="4034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7109364, E 678346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gammelgransskål (NT, T), lunglav (NT, T), tretåig hackspett (NT, T, §4), vedskivlav (NT, T), luddlav (S, T), norrlandslav (S, T),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