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Orratjärnskullen i Bjurholms kommun</w:t>
      </w:r>
    </w:p>
    <w:p>
      <w:r>
        <w:t>Detta klagomål behandlar höga naturvärden i avverkningsanmälan Orratjärnskullen i Bjurholms kommun som inkom 2026-07-17 och omfattar 64,7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Orratjärnskullen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7100310, E 697114 i SWEREF 99 TM.</w:t>
      </w:r>
    </w:p>
    <w:p>
      <w:r>
        <w:t>I avverkningsanmälan finns fynd av 30 naturvårdsarter, varav 17 är rödlistade, 12 är fridlysta, 22 är typiska (T) och 5 är signalarter (S): garnlav (VU, T), gränsticka (VU, T), knärot (VU, T, §8), doftskinn (NT, T), dvärgbägarlav (NT, T), harticka (NT, T), kötticka (NT), lunglav (NT, T), mörk kolflarnlav (NT), rödvingetrast (NT, §4), småflikig brosklav (NT, T), stjärntagging (NT, T), talltita (NT, §4), tretåig hackspett (NT, T, §4), ullticka (NT, T), vedskivlav (NT, T), violettgrå tagellav (NT, T), bårdlav (S, T), luddlav (S, T), stor aspticka (S, T), stuplav (S, T), vedticka (S, T), gråspett (T, §4), järpe (T, §4), spillkråka (T, §4), tjäder (T, §4), kungsfågel (§4), svartvit flugsnappare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450035"/>
            <wp:docPr id="2" name="Picture 2"/>
            <wp:cNvGraphicFramePr>
              <a:graphicFrameLocks noChangeAspect="1"/>
            </wp:cNvGraphicFramePr>
            <a:graphic>
              <a:graphicData uri="http://schemas.openxmlformats.org/drawingml/2006/picture">
                <pic:pic>
                  <pic:nvPicPr>
                    <pic:cNvPr id="0" name="Orratjärnskullen karta knärot.png"/>
                    <pic:cNvPicPr/>
                  </pic:nvPicPr>
                  <pic:blipFill>
                    <a:blip r:embed="rId17"/>
                    <a:stretch>
                      <a:fillRect/>
                    </a:stretch>
                  </pic:blipFill>
                  <pic:spPr>
                    <a:xfrm>
                      <a:off x="0" y="0"/>
                      <a:ext cx="5486400" cy="7450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7100310, E 697114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