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Fulberget i Bjurholms kommun</w:t>
      </w:r>
    </w:p>
    <w:p>
      <w:r>
        <w:t>Denna tillsynsbegäran behandlar höga naturvärden i avverkningsanmälan Fulberget i Bjurholms kommun som inkom 2026-07-17 och omfattar 117,3 ha.</w:t>
      </w:r>
    </w:p>
    <w:p>
      <w:pPr>
        <w:pStyle w:val="Caption"/>
      </w:pPr>
      <w:r>
        <w:drawing>
          <wp:inline xmlns:a="http://schemas.openxmlformats.org/drawingml/2006/main" xmlns:pic="http://schemas.openxmlformats.org/drawingml/2006/picture">
            <wp:extent cx="5486400" cy="3940134"/>
            <wp:docPr id="1" name="Picture 1"/>
            <wp:cNvGraphicFramePr>
              <a:graphicFrameLocks noChangeAspect="1"/>
            </wp:cNvGraphicFramePr>
            <a:graphic>
              <a:graphicData uri="http://schemas.openxmlformats.org/drawingml/2006/picture">
                <pic:pic>
                  <pic:nvPicPr>
                    <pic:cNvPr id="0" name="Fulberget karta.png"/>
                    <pic:cNvPicPr/>
                  </pic:nvPicPr>
                  <pic:blipFill>
                    <a:blip r:embed="rId16"/>
                    <a:stretch>
                      <a:fillRect/>
                    </a:stretch>
                  </pic:blipFill>
                  <pic:spPr>
                    <a:xfrm>
                      <a:off x="0" y="0"/>
                      <a:ext cx="5486400" cy="394013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7094564, E 673015 i SWEREF 99 TM.</w:t>
      </w:r>
    </w:p>
    <w:p>
      <w:r>
        <w:t>I och inom 8 meter från avverkningsanmälan finns fynd av 51 naturvårdsarter, varav 29 är rödlistade, 10 är fridlysta, 34 är typiska (T) och 17 är signalarter (S): garnlav (VU, T), gränsticka (VU, T), knärot (VU, T, §8), vitt vaxskinn (VU), barkporlav (NT), blek lundlav (NT), brunpudrad nållav (NT, T), doftskinn (NT, T), dvärgbägarlav (NT, T), gammelgransskål (NT, T), grå blåbärsfältmätare (NT), harticka (NT, T), kolflarnlav (NT, T), kortskaftad ärgspik (NT), kötticka (NT), lavskrika (NT, T, §4), lunglav (NT, T), mörk kolflarnlav (NT), rosenticka (NT, T), Rostania effusa (NT), rynkskinn (NT, T), småflikig brosklav (NT, T), stiftgelélav (NT, T), talltita (NT, §4), tretåig hackspett (NT, T, §4), ullticka (NT, T), vedskivlav (NT, T), violettgrå tagellav (NT, T), vitgrynig nållav (NT), bårdlav (S, T), dvärgtufs (S), gulnål (S, T), kornig nållav (S, T), källpraktmossa (S, T), luddlav (S, T), mörk husmossa (S, T), rävticka (S, T), skinnlav (S, T), spindelblomster (S, T, §8), stor aspticka (S, T), stuplav (S, T), thomsons trägnagare (S), trådticka (S, T), vedticka (S, T), vågbandad barkbock (S), ögonpyrola (S, T), spillkråka (T, §4), kungsfågel (§4), vanlig padda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6246254"/>
            <wp:docPr id="2" name="Picture 2"/>
            <wp:cNvGraphicFramePr>
              <a:graphicFrameLocks noChangeAspect="1"/>
            </wp:cNvGraphicFramePr>
            <a:graphic>
              <a:graphicData uri="http://schemas.openxmlformats.org/drawingml/2006/picture">
                <pic:pic>
                  <pic:nvPicPr>
                    <pic:cNvPr id="0" name="Fulberget karta knärot.png"/>
                    <pic:cNvPicPr/>
                  </pic:nvPicPr>
                  <pic:blipFill>
                    <a:blip r:embed="rId17"/>
                    <a:stretch>
                      <a:fillRect/>
                    </a:stretch>
                  </pic:blipFill>
                  <pic:spPr>
                    <a:xfrm>
                      <a:off x="0" y="0"/>
                      <a:ext cx="5486400" cy="6246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7094564, E 673015 i SWEREF 99 TM.</w:t>
      </w:r>
    </w:p>
    <w:p>
      <w:r>
        <w:rPr>
          <w:b/>
        </w:rPr>
        <w:t>Vitt vaxskinn (VU)</w:t>
      </w:r>
      <w:r>
        <w:t xml:space="preserve"> är en tunn, vidväxt, vit skinnsvamp som påträffats i äldre granskog med riklig tillgång på död ved. Fler områden med äldre skog och rik tillgång på död ved måste skyddas, särskilt i södra delen av landet. På kända lokaler bör växtplatserna noggrant dokumenteras och artens populationsdynamik och miljökrav närmare undersökas (SLU Artdatabanken, 2024).</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brunpudrad nållav (NT, T), doftskinn (NT, T), dvärgbägarlav (NT, T), gammelgransskål (NT, T), harticka (NT, T), kolflarnlav (NT, T), lavskrika (NT, T, §4), lunglav (NT, T), rosenticka (NT, T), rynkskinn (NT, T), småflikig brosklav (NT, T), stiftgelélav (NT, T), tretåig hackspett (NT, T, §4), ullticka (NT, T), vedskivlav (NT, T), violettgrå tagellav (NT, T), bårdlav (S, T), gulnål (S, T), kornig nållav (S, T), källpraktmossa (S, T), luddlav (S, T), mörk husmossa (S, T), rävticka (S, T), skinnlav (S, T), spindelblomster (S, T, §8), stor aspticka (S, T), stuplav (S, T), trådticka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