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Röjdtjärnliden i Bjurholms kommun</w:t>
      </w:r>
    </w:p>
    <w:p>
      <w:r>
        <w:t>Denna tillsynsbegäran behandlar höga naturvärden i avverkningsanmälan Röjdtjärnliden i Bjurholms kommun som inkom 2026-07-19 och omfattar 80,9 ha.</w:t>
      </w:r>
    </w:p>
    <w:p>
      <w:pPr>
        <w:pStyle w:val="Caption"/>
      </w:pPr>
      <w:r>
        <w:drawing>
          <wp:inline xmlns:a="http://schemas.openxmlformats.org/drawingml/2006/main" xmlns:pic="http://schemas.openxmlformats.org/drawingml/2006/picture">
            <wp:extent cx="5486400" cy="5181004"/>
            <wp:docPr id="1" name="Picture 1"/>
            <wp:cNvGraphicFramePr>
              <a:graphicFrameLocks noChangeAspect="1"/>
            </wp:cNvGraphicFramePr>
            <a:graphic>
              <a:graphicData uri="http://schemas.openxmlformats.org/drawingml/2006/picture">
                <pic:pic>
                  <pic:nvPicPr>
                    <pic:cNvPr id="0" name="Röjdtjärnliden karta.png"/>
                    <pic:cNvPicPr/>
                  </pic:nvPicPr>
                  <pic:blipFill>
                    <a:blip r:embed="rId16"/>
                    <a:stretch>
                      <a:fillRect/>
                    </a:stretch>
                  </pic:blipFill>
                  <pic:spPr>
                    <a:xfrm>
                      <a:off x="0" y="0"/>
                      <a:ext cx="5486400" cy="518100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7087060, E 681281 i SWEREF 99 TM.</w:t>
      </w:r>
    </w:p>
    <w:p>
      <w:r>
        <w:t>I och inom 18 meter från avverkningsanmälan finns fynd av 61 naturvårdsarter, varav 34 är rödlistade, 15 är fridlysta, 37 är typiska (T) och 18 är signalarter (S): fläckporing (VU, T), garnlav (VU, T), gräddporing (VU, T), gräddticka (VU), knärot (VU, T, §8), läderlappslav (VU, T), smalfotad taggsvamp (VU), tajgataggsvamp (VU), tornseglare (VU, §4), blanksvart spiklav (NT), blågrå svartspik (NT), dropptaggsvamp (NT, T), dvärgbägarlav (NT, T), grå blåbärsfältmätare (NT), grönhjon (NT), kolflarnlav (NT, T), kortskaftad ärgspik (NT), kötticka (NT), lunglav (NT, T), mörk kolflarnlav (NT), reliktbock (NT, T), rynkskinn (NT, T), stiftgelélav (NT, T), stjärntagging (NT, T), talltagel (NT, T), tallticka (NT, T), talltita (NT, §4), tretåig hackspett (NT, T, §4), ullticka (NT, T), vedflamlav (NT), vedskivlav (NT, T), vedtrappmossa (NT, T), vitgrynig nållav (NT), vitplätt (NT), barkticka (S, T), björksplintborre (S), bronshjon (S, T), bårdlav (S, T), dvärgtufs (S), grönpyrola (S, T), gulnål (S, T), gytterlav (S, T), korallblylav (S, T), kornig nållav (S, T), källmossa (S), norrlandslav (S, T), plattlummer (S, T, §9), skinnlav (S, T), spindelblomster (S, T, §8), stor aspticka (S, T), stuplav (S, T), vedticka (S, T), järpe (T, §4), spillkråka (T, §4), tjäder (T, §4), kungsfågel (§4), huggorm (§6), vanlig groda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13.53 ha med buffertzonerna och får av detta skäl inte avverkas.</w:t>
      </w:r>
    </w:p>
    <w:p>
      <w:pPr>
        <w:pStyle w:val="Caption"/>
      </w:pPr>
      <w:r>
        <w:drawing>
          <wp:inline xmlns:a="http://schemas.openxmlformats.org/drawingml/2006/main" xmlns:pic="http://schemas.openxmlformats.org/drawingml/2006/picture">
            <wp:extent cx="5486400" cy="4726600"/>
            <wp:docPr id="2" name="Picture 2"/>
            <wp:cNvGraphicFramePr>
              <a:graphicFrameLocks noChangeAspect="1"/>
            </wp:cNvGraphicFramePr>
            <a:graphic>
              <a:graphicData uri="http://schemas.openxmlformats.org/drawingml/2006/picture">
                <pic:pic>
                  <pic:nvPicPr>
                    <pic:cNvPr id="0" name="Röjdtjärnliden karta knärot.png"/>
                    <pic:cNvPicPr/>
                  </pic:nvPicPr>
                  <pic:blipFill>
                    <a:blip r:embed="rId17"/>
                    <a:stretch>
                      <a:fillRect/>
                    </a:stretch>
                  </pic:blipFill>
                  <pic:spPr>
                    <a:xfrm>
                      <a:off x="0" y="0"/>
                      <a:ext cx="5486400" cy="47266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7087060, E 681281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läderlappslav (VU, T), dropptaggsvamp (NT, T), dvärgbägarlav (NT, T), kolflarnlav (NT, T), lunglav (NT, T), reliktbock (NT, T), rynkskinn (NT, T), stiftgelélav (NT, T), stjärntagging (NT, T), talltagel (NT, T), tallticka (NT, T), tretåig hackspett (NT, T, §4), ullticka (NT, T), vedskivlav (NT, T), vedtrappmossa (NT, T), barkticka (S, T), bronshjon (S, T), bårdlav (S, T), grönpyrola (S, T), gulnål (S, T), gytterlav (S, T), korallblylav (S, T), kornig nållav (S, T), norrlandslav (S, T), plattlummer (S, T, §9), skinnlav (S, T), spindelblomster (S, T, §8), stor aspticka (S, T),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