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Lillgoberget i Bjurholms kommun</w:t>
      </w:r>
    </w:p>
    <w:p>
      <w:r>
        <w:t>Detta klagomål behandlar höga naturvärden i avverkningsanmälan Lillgoberget i Bjurholms kommun som inkom 2026-07-14 och omfattar 102,2 ha.</w:t>
      </w:r>
    </w:p>
    <w:p>
      <w:pPr>
        <w:pStyle w:val="Caption"/>
      </w:pPr>
      <w:r>
        <w:drawing>
          <wp:inline xmlns:a="http://schemas.openxmlformats.org/drawingml/2006/main" xmlns:pic="http://schemas.openxmlformats.org/drawingml/2006/picture">
            <wp:extent cx="5486400" cy="5475720"/>
            <wp:docPr id="1" name="Picture 1"/>
            <wp:cNvGraphicFramePr>
              <a:graphicFrameLocks noChangeAspect="1"/>
            </wp:cNvGraphicFramePr>
            <a:graphic>
              <a:graphicData uri="http://schemas.openxmlformats.org/drawingml/2006/picture">
                <pic:pic>
                  <pic:nvPicPr>
                    <pic:cNvPr id="0" name="Lillgoberget karta.png"/>
                    <pic:cNvPicPr/>
                  </pic:nvPicPr>
                  <pic:blipFill>
                    <a:blip r:embed="rId16"/>
                    <a:stretch>
                      <a:fillRect/>
                    </a:stretch>
                  </pic:blipFill>
                  <pic:spPr>
                    <a:xfrm>
                      <a:off x="0" y="0"/>
                      <a:ext cx="5486400" cy="54757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7113793, E 699975 i SWEREF 99 TM.</w:t>
      </w:r>
    </w:p>
    <w:p>
      <w:r>
        <w:t>I avverkningsanmälan finns fynd av 58 naturvårdsarter, varav 27 är rödlistade, 11 är fridlysta, 36 är typiska (T) och 26 är signalarter (S): garnlav (VU, T), knärot (VU, T, §8), lappticka (VU, T), liten aspgelélav (VU, T), läderdoftande fingersvamp (VU), ulltickeporing (VU), ängsblåvinge (VU), dropptaggsvamp (NT, T), gammelgransskål (NT, T), grantaggsvamp (NT), grynig filtlav (NT, T), grå blåbärsfältmätare (NT), kortskaftad ärgspik (NT), lavskrika (NT, T, §4), luddfingersvamp (NT), lunglav (NT, T), månlåsbräken (NT), rosenticka (NT, T), rynkskinn (NT, T), silverfläckspraktmal (NT), skrovellav (NT, T), stiftgelélav (NT, T), talltita (NT, §4), tretåig hackspett (NT, T, §4), ullticka (NT, T), vedtrappmossa (NT, T), vitgrynig nållav (NT), bollvitmossa (S, T), broskvaxing (S), bårdlav (S, T), granbarkgnagare (S, T), grönpyrola (S, T), gulnål (S, T), gulpudrad spiklav (S, T), korallblylav (S, T), korallrot (S, T, §8), källpraktmossa (S, T), luddlav (S, T), norrlandslav (S, T), nästlav (S, T), skinnlav (S, T), småvaxing (S), spindelblomster (S, T, §8), sprödvaxing (S), spädstarr (S, T), stor aspticka (S, T), stuplav (S, T), thomsons trägnagare (S), vedticka (S, T), vitvaxing agg. (S), ängsfingersvamp (S), ängsvaxing agg. (S), ögonpyrola (S, T), spillkråka (T, §4), kungsfågel (§4),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127 fyndplatser för knärot registrerade på Artportalen. Figur 2 visar gränserna för buffertzoner på 50 m, som behöver lämnas kring fyndplatserna för att knärotslokalerna inte ska försvinna vid en avverkning. Av det avverkningsanmälda området överlappar 29.49 ha med buffertzonerna och får av detta skäl inte avverkas.</w:t>
      </w:r>
    </w:p>
    <w:p>
      <w:pPr>
        <w:pStyle w:val="Caption"/>
      </w:pPr>
      <w:r>
        <w:drawing>
          <wp:inline xmlns:a="http://schemas.openxmlformats.org/drawingml/2006/main" xmlns:pic="http://schemas.openxmlformats.org/drawingml/2006/picture">
            <wp:extent cx="5486400" cy="9812799"/>
            <wp:docPr id="2" name="Picture 2"/>
            <wp:cNvGraphicFramePr>
              <a:graphicFrameLocks noChangeAspect="1"/>
            </wp:cNvGraphicFramePr>
            <a:graphic>
              <a:graphicData uri="http://schemas.openxmlformats.org/drawingml/2006/picture">
                <pic:pic>
                  <pic:nvPicPr>
                    <pic:cNvPr id="0" name="Lillgoberget karta knärot.png"/>
                    <pic:cNvPicPr/>
                  </pic:nvPicPr>
                  <pic:blipFill>
                    <a:blip r:embed="rId17"/>
                    <a:stretch>
                      <a:fillRect/>
                    </a:stretch>
                  </pic:blipFill>
                  <pic:spPr>
                    <a:xfrm>
                      <a:off x="0" y="0"/>
                      <a:ext cx="5486400" cy="98127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7113793, E 699975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Silverfläckspraktmal (NT)</w:t>
      </w:r>
      <w:r>
        <w:t xml:space="preserve"> är en sällsynt art som främst förekommer i anslutning till åldriga hålträd i områden med lång trädkontinuitet. Den är funnen i Sverige inom ett relativt stort utbredningsområde från Skåne till Norrbotten. Bristande kontinuitet av naturskogar och borttagning av gamla lövträd minskar successivt antalet kända lokaler. Silverfläckspraktmalen ingår i ett åtgärdsprogram för hotade arter (ÅGP)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58 naturvårdsarter varav 27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