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Sundsjölandet i Bjurholms kommun</w:t>
      </w:r>
    </w:p>
    <w:p>
      <w:r>
        <w:t>Detta klagomål behandlar höga naturvärden i avverkningsanmälan Sundsjölandet i Bjurholms kommun som inkom 2026-07-16 och omfattar 381,1 ha.</w:t>
      </w:r>
    </w:p>
    <w:p>
      <w:pPr>
        <w:pStyle w:val="Caption"/>
      </w:pPr>
      <w:r>
        <w:drawing>
          <wp:inline xmlns:a="http://schemas.openxmlformats.org/drawingml/2006/main" xmlns:pic="http://schemas.openxmlformats.org/drawingml/2006/picture">
            <wp:extent cx="5421161" cy="5724000"/>
            <wp:docPr id="1" name="Picture 1"/>
            <wp:cNvGraphicFramePr>
              <a:graphicFrameLocks noChangeAspect="1"/>
            </wp:cNvGraphicFramePr>
            <a:graphic>
              <a:graphicData uri="http://schemas.openxmlformats.org/drawingml/2006/picture">
                <pic:pic>
                  <pic:nvPicPr>
                    <pic:cNvPr id="0" name="Sundsjölandet karta.png"/>
                    <pic:cNvPicPr/>
                  </pic:nvPicPr>
                  <pic:blipFill>
                    <a:blip r:embed="rId16"/>
                    <a:stretch>
                      <a:fillRect/>
                    </a:stretch>
                  </pic:blipFill>
                  <pic:spPr>
                    <a:xfrm>
                      <a:off x="0" y="0"/>
                      <a:ext cx="54211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7095727, E 675024 i SWEREF 99 TM.</w:t>
      </w:r>
    </w:p>
    <w:p>
      <w:r>
        <w:t>I och inom 24 meter från avverkningsanmälan finns fynd av 48 naturvårdsarter, varav 37 är rödlistade, 7 är fridlysta, 30 är typiska (T) och 6 är signalarter (S): urskogsporing (EN), fläckporing (VU, T), garnlav (VU, T), gräddporing (VU, T), gränsticka (VU, T), Protounguicularia nephromatis (VU), skrovlig taggsvamp (VU), taggfingersvamp (VU), blanksvart spiklav (NT), blå taggsvamp (NT, T), blågrå svartspik (NT), dropptaggsvamp (NT, T), dvärgbägarlav (NT, T), gammelgransskål (NT, T), kolflarnlav (NT, T), kortskaftad ärgspik (NT), lavskrika (NT, T, §4), lunglav (NT, T), motaggsvamp (NT, T), mörk kolflarnlav (NT), nordlig nållav (NT), nordtagging (NT), orange taggsvamp (NT, T), reliktbock (NT, T), skarp dropptaggsvamp (NT), tallriska (NT), talltagel (NT, T), tallticka (NT, T), tretåig hackspett (NT, T, §4), ullticka (NT, T), vaddporing (NT), vedflamlav (NT), vedskivlav (NT, T), vedtrappmossa (NT, T), violettgrå tagellav (NT, T), vitgrynig nållav (NT), vitplätt (NT), barkticka (S, T), bårdlav (S, T), luddlav (S, T), skinnlav (S, T), stuplav (S, T), vedticka (S, T), gråspett (T, §4), spillkråka (T, §4), tjäder (T, §4), huggorm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Protounguicularia nephromatis </w:t>
      </w:r>
      <w:r>
        <w:rPr>
          <w:b/>
        </w:rPr>
        <w:t>(VU)</w:t>
      </w:r>
      <w:r>
        <w:t xml:space="preserve"> är en sällsynt lavparasit som associeras till njurlavar (Nephroma)</w:t>
      </w:r>
      <w:r>
        <w:rPr>
          <w:i/>
        </w:rPr>
        <w:t xml:space="preserve"> </w:t>
      </w:r>
      <w:r>
        <w:t xml:space="preserve">och växer i boreala kontinuitetsskogar med hög och jämn luftfuktighet. Den hittas oftast på stuplav men har även påträffats på västlig njurlav (VU) och bårdlav. Utöver </w:t>
      </w:r>
      <w:r>
        <w:rPr>
          <w:i/>
        </w:rPr>
        <w:t>Protounguicularia nephromatis</w:t>
      </w:r>
      <w:r>
        <w:t xml:space="preserve"> finns det ytterligare tre sällsynta lavparasiter som växer på stuplav; njurlavsknapp (EN), </w:t>
      </w:r>
      <w:r>
        <w:rPr>
          <w:i/>
        </w:rPr>
        <w:t>Refractohilum galligenum</w:t>
      </w:r>
      <w:r>
        <w:t xml:space="preserve"> (NT) och </w:t>
      </w:r>
      <w:r>
        <w:rPr>
          <w:i/>
        </w:rPr>
        <w:t>Roselliniella nephromatis</w:t>
      </w:r>
      <w:r>
        <w:t xml:space="preserve"> (DD). Samtliga dessa lavparasiter hotas av brist på kontinuitetsskog och minskning av de relaterade värdarterna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48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