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Råtjärnberget i Bjurholms kommun</w:t>
      </w:r>
    </w:p>
    <w:p>
      <w:r>
        <w:t>Denna tillsynsbegäran behandlar höga naturvärden i avverkningsanmälan Råtjärnberget i Bjurholms kommun som inkom 2026-07-14 och omfattar 240,4 ha.</w:t>
      </w:r>
    </w:p>
    <w:p>
      <w:pPr>
        <w:pStyle w:val="Caption"/>
      </w:pPr>
      <w:r>
        <w:drawing>
          <wp:inline xmlns:a="http://schemas.openxmlformats.org/drawingml/2006/main" xmlns:pic="http://schemas.openxmlformats.org/drawingml/2006/picture">
            <wp:extent cx="5486400" cy="4371716"/>
            <wp:docPr id="1" name="Picture 1"/>
            <wp:cNvGraphicFramePr>
              <a:graphicFrameLocks noChangeAspect="1"/>
            </wp:cNvGraphicFramePr>
            <a:graphic>
              <a:graphicData uri="http://schemas.openxmlformats.org/drawingml/2006/picture">
                <pic:pic>
                  <pic:nvPicPr>
                    <pic:cNvPr id="0" name="Råtjärnberget karta.png"/>
                    <pic:cNvPicPr/>
                  </pic:nvPicPr>
                  <pic:blipFill>
                    <a:blip r:embed="rId16"/>
                    <a:stretch>
                      <a:fillRect/>
                    </a:stretch>
                  </pic:blipFill>
                  <pic:spPr>
                    <a:xfrm>
                      <a:off x="0" y="0"/>
                      <a:ext cx="5486400" cy="437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7105841, E 677289 i SWEREF 99 TM.</w:t>
      </w:r>
    </w:p>
    <w:p>
      <w:r>
        <w:t>I avverkningsanmälan finns fynd av 77 naturvårdsarter, varav 46 är rödlistade, 17 är fridlysta, 49 är typiska (T) och 22 är signalarter (S): pärluggla (EN, T, §4), aspgelélav (VU, T), doftticka (VU, T, §8), fläckporing (VU, T), garnlav (VU, T), gräddporing (VU, T), gränsticka (VU, T), knärot (VU, T, §8), liten aspgelélav (VU, T), läderlappslav (VU, T), starrgräsfjäril (VU), aspbarkgnagare (NT), baltiskt skogsfly (NT), barkporlav (NT), blanksvart spiklav (NT), blågrå svartspik (NT), doftskinn (NT, T), dropptaggsvamp (NT, T), dvärgbägarlav (NT, T), gammelgransskål (NT, T), grå blåbärsfältmätare (NT), hornvaxskinn (NT), kandelabersvamp (NT, T), kolflarnlav (NT, T), kortskaftad ärgspik (NT), liten svartspik (NT), lunglav (NT, T), mörk kolflarnlav (NT), nordlig nållav (NT), nordtagging (NT), reliktbock (NT, T), rosenticka (NT, T), rynkskinn (NT, T), rödvingetrast (NT, §4), småflikig brosklav (NT, T), sotvaxskivling (NT), stiftgelélav (NT, T), talltagel (NT, T), talltita (NT, §4), tretåig hackspett (NT, T, §4), ullticka (NT, T), vedflamlav (NT), vedskivlav (NT, T), vedtrappmossa (NT, T), violettgrå tagellav (NT, T), vitgrynig nållav (NT), aspvedgnagare (S), barkkornlav (S, T), blodticka (S, T), bårdlav (S, T), dvärgtufs (S), gytterlav (S, T), luddlav (S, T), mindre märgborre (S, T), norrlandslav (S, T), nästlav (S, T), plattlummer (S, T, §9), robust tickgnagare (S), rävticka (S, T), skinnlav (S, T), spindelblomster (S, T, §8), spädstarr (S, T), stekelbock (S, T), stor aspticka (S, T), stuplav (S, T), traslav (S), vedticka (S, T), ögonpyrola (S, T), järpe (T, §4), spillkråka (T, §4), tjäder (T, §4), grönsiska (§4), kungsfågel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12.45 ha med buffertzonerna och får av detta skäl inte avverkas.</w:t>
      </w:r>
    </w:p>
    <w:p>
      <w:pPr>
        <w:pStyle w:val="Caption"/>
      </w:pPr>
      <w:r>
        <w:drawing>
          <wp:inline xmlns:a="http://schemas.openxmlformats.org/drawingml/2006/main" xmlns:pic="http://schemas.openxmlformats.org/drawingml/2006/picture">
            <wp:extent cx="5486400" cy="3974341"/>
            <wp:docPr id="2" name="Picture 2"/>
            <wp:cNvGraphicFramePr>
              <a:graphicFrameLocks noChangeAspect="1"/>
            </wp:cNvGraphicFramePr>
            <a:graphic>
              <a:graphicData uri="http://schemas.openxmlformats.org/drawingml/2006/picture">
                <pic:pic>
                  <pic:nvPicPr>
                    <pic:cNvPr id="0" name="Råtjärnberget karta knärot.png"/>
                    <pic:cNvPicPr/>
                  </pic:nvPicPr>
                  <pic:blipFill>
                    <a:blip r:embed="rId17"/>
                    <a:stretch>
                      <a:fillRect/>
                    </a:stretch>
                  </pic:blipFill>
                  <pic:spPr>
                    <a:xfrm>
                      <a:off x="0" y="0"/>
                      <a:ext cx="5486400" cy="39743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7105841, E 677289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aspgelélav (VU, T), doftticka (VU, T, §8), fläckporing (VU, T), garnlav (VU, T), gräddporing (VU, T), gränsticka (VU, T), knärot (VU, T, §8), liten aspgelélav (VU, T), läderlappslav (VU, T), doftskinn (NT, T), dropptaggsvamp (NT, T), dvärgbägarlav (NT, T), gammelgransskål (NT, T), kandelabersvamp (NT, T), kolflarnlav (NT, T), lunglav (NT, T), reliktbock (NT, T), rosenticka (NT, T), rynkskinn (NT, T), småflikig brosklav (NT, T), stiftgelélav (NT, T), talltagel (NT, T), tretåig hackspett (NT, T, §4), ullticka (NT, T), vedskivlav (NT, T), vedtrappmossa (NT, T), violettgrå tagellav (NT, T), barkkornlav (S, T), blodticka (S, T), bårdlav (S, T), gytterlav (S, T), luddlav (S, T), mindre märgborre (S, T), norrlandslav (S, T), nästlav (S, T), plattlummer (S, T, §9), rävticka (S, T), skinnlav (S, T), spindelblomster (S, T, §8), spädstarr (S, T), stekelbock (S, T), stor aspticka (S, T), stuplav (S, T), vedticka (S, T), ögonpyrola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