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Johannesbomyran i Bjurholms kommun</w:t>
      </w:r>
    </w:p>
    <w:p>
      <w:r>
        <w:t>Detta klagomål behandlar höga naturvärden i avverkningsanmälan Johannesbomyran i Bjurholms kommun som inkom 2026-07-19 och omfattar 66,1 ha.</w:t>
      </w:r>
    </w:p>
    <w:p>
      <w:pPr>
        <w:pStyle w:val="Caption"/>
      </w:pPr>
      <w:r>
        <w:drawing>
          <wp:inline xmlns:a="http://schemas.openxmlformats.org/drawingml/2006/main" xmlns:pic="http://schemas.openxmlformats.org/drawingml/2006/picture">
            <wp:extent cx="5486400" cy="5432264"/>
            <wp:docPr id="1" name="Picture 1"/>
            <wp:cNvGraphicFramePr>
              <a:graphicFrameLocks noChangeAspect="1"/>
            </wp:cNvGraphicFramePr>
            <a:graphic>
              <a:graphicData uri="http://schemas.openxmlformats.org/drawingml/2006/picture">
                <pic:pic>
                  <pic:nvPicPr>
                    <pic:cNvPr id="0" name="Johannesbomyran karta.png"/>
                    <pic:cNvPicPr/>
                  </pic:nvPicPr>
                  <pic:blipFill>
                    <a:blip r:embed="rId16"/>
                    <a:stretch>
                      <a:fillRect/>
                    </a:stretch>
                  </pic:blipFill>
                  <pic:spPr>
                    <a:xfrm>
                      <a:off x="0" y="0"/>
                      <a:ext cx="5486400" cy="543226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7096523, E 690384 i SWEREF 99 TM.</w:t>
      </w:r>
    </w:p>
    <w:p>
      <w:r>
        <w:t>I och inom 23 meter från avverkningsanmälan finns fynd av 20 naturvårdsarter, varav 12 är rödlistade, 4 är fridlysta, 16 är typiska (T) och 7 är signalarter (S): garnlav (VU, T), knärot (VU, T, §8), doftskinn (NT, T), dropptaggsvamp (NT, T), kolflarnlav (NT, T), kortskaftad ärgspik (NT), lunglav (NT, T), mörk kolflarnlav (NT), tallticka (NT, T), tretåig hackspett (NT, T, §4), vedskivlav (NT, T), violettgrå tagellav (NT, T), bårdlav (S, T), dvärgtufs (S), luddlav (S, T), plattlummer (S, T, §9), skinnlav (S, T), stor aspticka (S, T), stuplav (S, T) och ljungpipare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31 fyndplatser för knärot registrerade på Artportalen. Figur 2 visar gränserna för buffertzoner på 50 m, som behöver lämnas kring fyndplatserna för att knärotslokalerna inte ska försvinna vid en avverkning. Av det avverkningsanmälda området överlappar 6.73 ha med buffertzonerna och får av detta skäl inte avverkas.</w:t>
      </w:r>
    </w:p>
    <w:p>
      <w:pPr>
        <w:pStyle w:val="Caption"/>
      </w:pPr>
      <w:r>
        <w:drawing>
          <wp:inline xmlns:a="http://schemas.openxmlformats.org/drawingml/2006/main" xmlns:pic="http://schemas.openxmlformats.org/drawingml/2006/picture">
            <wp:extent cx="5486400" cy="7320231"/>
            <wp:docPr id="2" name="Picture 2"/>
            <wp:cNvGraphicFramePr>
              <a:graphicFrameLocks noChangeAspect="1"/>
            </wp:cNvGraphicFramePr>
            <a:graphic>
              <a:graphicData uri="http://schemas.openxmlformats.org/drawingml/2006/picture">
                <pic:pic>
                  <pic:nvPicPr>
                    <pic:cNvPr id="0" name="Johannesbomyran karta knärot.png"/>
                    <pic:cNvPicPr/>
                  </pic:nvPicPr>
                  <pic:blipFill>
                    <a:blip r:embed="rId17"/>
                    <a:stretch>
                      <a:fillRect/>
                    </a:stretch>
                  </pic:blipFill>
                  <pic:spPr>
                    <a:xfrm>
                      <a:off x="0" y="0"/>
                      <a:ext cx="5486400" cy="73202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7096523, E 690384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