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Råtjärnberget i Bjurholms kommun</w:t>
      </w:r>
    </w:p>
    <w:p>
      <w:r>
        <w:t>Detta dokument behandlar höga naturvärden i avverkningsanmälan Råtjärnberget i Bjurholms kommun. Denna avverkningsanmälan inkom 2025-07-23 och omfattar 240,4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doftticka (VU, §8), fläckporing (VU), gräddporing (VU), knärot (VU, §8), rynkskinn (VU), aspbarkgnagare (NT), doftskinn (NT), dvärgbägarlav (NT), gammelgransskål (NT), garnlav (NT), granticka (NT), grön aspvedbock (NT), kolflarnlav (NT), lunglav (NT), mörk kolflarnlav (NT), reliktbock (NT), rosenticka (NT), rödvingetrast (NT, §4), småflikig brosklav (NT), stiftgelélav (NT), talltita (NT, §4), vedskivlav (NT), aspvedgnagare (S), bårdlav (S), dropptaggsvamp (S), luddlav (S), plattlummer (S, §9), robust tickgnagare (S), rävticka (S), skinnlav (S), spindelblomster (S, §8), spädstarr (S), stekelbock (S), stor aspticka (S), stuplav (S), ögonpyrola (S), pärluggla (§4), tjäder (§4), fläcknycklar (§8)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2709"/>
            <wp:docPr id="1" name="Picture 1"/>
            <wp:cNvGraphicFramePr>
              <a:graphicFrameLocks noChangeAspect="1"/>
            </wp:cNvGraphicFramePr>
            <a:graphic>
              <a:graphicData uri="http://schemas.openxmlformats.org/drawingml/2006/picture">
                <pic:pic>
                  <pic:nvPicPr>
                    <pic:cNvPr id="0" name="Råtjärnberget karta.png"/>
                    <pic:cNvPicPr/>
                  </pic:nvPicPr>
                  <pic:blipFill>
                    <a:blip r:embed="rId16"/>
                    <a:stretch>
                      <a:fillRect/>
                    </a:stretch>
                  </pic:blipFill>
                  <pic:spPr>
                    <a:xfrm>
                      <a:off x="0" y="0"/>
                      <a:ext cx="5486400" cy="31327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7105841, E 677289 i SWEREF 99 TM.</w:t>
      </w:r>
    </w:p>
    <w:p>
      <w:r>
        <w:rPr>
          <w:b/>
        </w:rPr>
        <w:t>Aspbarkgnagare (NT)</w:t>
      </w:r>
      <w:r>
        <w:t xml:space="preserve"> är en globalt rödlistad art som omfattas av EU:s art- och habitatdirektiv och ingår i ett åtgärdsprogram (ÅGP) för hotade arter på asp i Norrland. Artens larvutveckling sker i solbelyst, skadad eller död bark av asp. Larver kan påträffas både på levande och på helt döda stammar. Ibland angrips även nedfallna döda, grova grenar. Larverna lever strax under den hårda ytterbarken och gnager otydliga gångar i den ganska luckra innerbarken. De påträffas ofta runt gamla stamskador där barken fått en mycket ojämn struktur – ofta påträffas även arter av barkborresläktet </w:t>
      </w:r>
      <w:r>
        <w:rPr>
          <w:i/>
        </w:rPr>
        <w:t xml:space="preserve">Trypophloeus </w:t>
      </w:r>
      <w:r>
        <w:t>på samma ställe (SLU Artdatabanken, 2024).</w:t>
      </w:r>
    </w:p>
    <w:p>
      <w:r>
        <w:t>Aspbarkgnagaren är listad i EU:s art- och habitatdirektiv (Rådets direktiv 92/43/EEG) och är därmed en s.k. Natura 2000-art. Det betyder att artens gynnsamma bevarandestatus ska bibehållas eller återställas. Tillräckligt många Natura 2000-områden skall pekas ut för arten, spridda över det ursprungliga utbredningsområdet, så att arten kan nå en utbredning och population som medger att den kan överleva långsiktigt. Arten hotas av att mängden äldre asprik skog minskat i skogslandskapet under det senaste seklet samt att aspskogar inte förnyas i tillräcklig grad (Naturvårdsverket, 2010). Röjning, gallring och avverkning av asp i de landskapsområden där arten fortfarande förekommer är ett direkt hot mot artens långsiktiga överlevnad.</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rödvingetrast (NT, §4), talltita (NT, §4), plattlummer (S, §9), spindelblomster (S, §8), pärluggla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2.99 ha med buffertzonerna och får av detta skäl inte avverkas.</w:t>
      </w:r>
    </w:p>
    <w:p>
      <w:pPr>
        <w:pStyle w:val="Caption"/>
      </w:pPr>
      <w:r>
        <w:drawing>
          <wp:inline xmlns:a="http://schemas.openxmlformats.org/drawingml/2006/main" xmlns:pic="http://schemas.openxmlformats.org/drawingml/2006/picture">
            <wp:extent cx="5486400" cy="3547872"/>
            <wp:docPr id="2" name="Picture 2"/>
            <wp:cNvGraphicFramePr>
              <a:graphicFrameLocks noChangeAspect="1"/>
            </wp:cNvGraphicFramePr>
            <a:graphic>
              <a:graphicData uri="http://schemas.openxmlformats.org/drawingml/2006/picture">
                <pic:pic>
                  <pic:nvPicPr>
                    <pic:cNvPr id="0" name="Råtjärnberget karta knärot.png"/>
                    <pic:cNvPicPr/>
                  </pic:nvPicPr>
                  <pic:blipFill>
                    <a:blip r:embed="rId17"/>
                    <a:stretch>
                      <a:fillRect/>
                    </a:stretch>
                  </pic:blipFill>
                  <pic:spPr>
                    <a:xfrm>
                      <a:off x="0" y="0"/>
                      <a:ext cx="5486400" cy="3547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7105841, E 677289 i SWEREF 99 TM.</w:t>
      </w:r>
    </w:p>
    <w:p>
      <w:pPr>
        <w:pStyle w:val="Caption"/>
      </w:pPr>
    </w:p>
    <w:p>
      <w:r>
        <w:rPr>
          <w:b/>
        </w:rPr>
        <w:t>Pärluggla (§4)</w:t>
      </w:r>
      <w:r>
        <w:t xml:space="preserve"> är beroende av äldre, varierad skog med goda jaktmöjligheter och god tillgång på lämpliga trädhål som boplatser. Hemområdet är i storleksordningen 200–500 hektar, men storleken varierar kraftigt beroende på hur mycket föda det finns. Undvik skogsbruksåtgärder som kan skada hänsynskrävande miljöer, som till exempel strand- och sumpskogar med naturskogskaraktär, äldre skog på uddar och öar, raviner, klyftor och blockmarker samt berg- och rasbranter, äldre hällmarksskog, äldre sandtallskogar, naturskogsrester, eller äldre trädbestånd med mycket hänglavar eller död ved. Pärlugglan är typisk art för Västlig taiga (9010) och omfattas av fågeldirektivets bilaga 1 (SLU Artdatabanken, 2024;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Aspbarkgnagare – ekologi samt krav på livsmiljön</w:t>
      </w:r>
    </w:p>
    <w:p>
      <w:r>
        <w:t xml:space="preserve">Aspbarkgnagare (NT) är en globalt rödlistad art som omfattas av EU:s art- och habitatdirektiv och ingår i ett åtgärdsprogram (ÅGP) för hotade arter på asp i Norrland. Artens larvutveckling sker i solbelyst, skadad eller död bark av asp. Larver kan påträffas både på levande och på helt döda stammar. Ibland angrips även nedfallna döda, grova grenar. Larverna lever strax under den hårda ytterbarken och gnager otydliga gångar i den ganska luckra innerbarken. De påträffas ofta runt gamla stamskador där barken fått en mycket ojämn struktur – ofta påträffas även arter av barkborresläktet </w:t>
      </w:r>
      <w:r>
        <w:rPr>
          <w:i/>
        </w:rPr>
        <w:t xml:space="preserve">Trypophloeus </w:t>
      </w:r>
      <w:r>
        <w:t>på samma ställe (SLU Artdatabanken, 2024).</w:t>
      </w:r>
    </w:p>
    <w:p>
      <w:r>
        <w:t>Aspbarkgnagaren är listad i EU:s art- och habitatdirektiv (Rådets direktiv 92/43/EEG) och är därmed en s.k. Natura 2000-art. Det betyder att artens gynnsamma bevarandestatus ska bibehållas eller återställas. Tillräckligt många Natura 2000-områden skall pekas ut för arten, spridda över det ursprungliga utbredningsområdet, så att arten kan nå en utbredning och population som medger att den kan överleva långsiktigt. Arten hotas av att mängden äldre asprik skog minskat i skogslandskapet under det senaste seklet samt att aspskogar inte förnyas i tillräcklig grad (Naturvårdsverket, 2010). Röjning, gallring och avverkning av asp i de landskapsområden där arten fortfarande förekommer är ett direkt hot mot artens långsiktiga överlevnad.</w:t>
      </w:r>
    </w:p>
    <w:p>
      <w:pPr>
        <w:pStyle w:val="Heading2"/>
      </w:pPr>
      <w:r>
        <w:t>Referenser – aspbarkgnagare</w:t>
      </w:r>
    </w:p>
    <w:p>
      <w:r>
        <w:t xml:space="preserve">Naturvårdverket, 2010. </w:t>
      </w:r>
      <w:r>
        <w:rPr>
          <w:i/>
        </w:rPr>
        <w:t>Åtgärdsprogram för hotade arter på asp i Norrland 2010–2014</w:t>
      </w:r>
      <w:r>
        <w:t>. Rapport 6393. Juni 2010</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Pärluggla – ekologi samt krav på livsmiljön</w:t>
      </w:r>
    </w:p>
    <w:p>
      <w:r>
        <w:t>Pärluggla (§4) är beroende av äldre, varierad skog med goda jaktmöjligheter och god tillgång på lämpliga trädhål som boplatser. Den förekommer med störst täthet i äldre granskog, med inslag av gamla lövträd och luckor och öppningar i form av mindre hyggen, jordbruksmark och liknande. Den häckar även frekvent i barr- och lövblandskogar av tall, björk och asp, där förutsättningarna att finna boplatser är störst. I sydligaste Sverige häckar den ofta i gamla bokbackar, men den är mycket sällsynt i ren bokskog (SLU Artdatabanken, 2024).</w:t>
      </w:r>
    </w:p>
    <w:p>
      <w:r>
        <w:t>Hemområdet är i storleksordningen 200–500 hektar, men storleken varierar kraftigt beroende på hur mycket föda det finns. Under dåliga gnagarår kan pärlugglan jaga upp till 4 km från boet medan den under bra år ofta håller sig inom 1 km. Pärluggla är typisk art för Västlig taiga och omfattas av fågeldirektivets bilaga 1 (SLU Artdatabanken, 2024).</w:t>
      </w:r>
    </w:p>
    <w:p>
      <w:r>
        <w:t>Undvik skogsbruksåtgärder som kan skada hänsynskrävande miljöer, som till exempel strand- och sumpskogar med naturskogskaraktär, äldre skog på uddar och öar, raviner, klyftor och blockmarker samt berg- och rasbranter, äldre hällmarksskog, äldre sandtallskogar, naturskogsrester, eller äldre trädbestånd med mycket hänglavar eller död ved (Skogsstyrelsen, 2016).</w:t>
      </w:r>
    </w:p>
    <w:p>
      <w:pPr>
        <w:pStyle w:val="Heading2"/>
      </w:pPr>
      <w:r>
        <w:t>Referenser – pärluggla</w:t>
      </w:r>
    </w:p>
    <w:p>
      <w:r>
        <w:t xml:space="preserve">SLU Artdatabanken, 2024. </w:t>
      </w:r>
      <w:r>
        <w:rPr>
          <w:i/>
        </w:rPr>
        <w:t xml:space="preserve">Artfaktablad. Naturvård – artfakta. </w:t>
      </w:r>
      <w:r>
        <w:t>SLU Artdatabanken, Uppsala.</w:t>
      </w:r>
    </w:p>
    <w:p>
      <w:r>
        <w:t xml:space="preserve">Skogsstyrelsen, 2016. </w:t>
      </w:r>
      <w:r>
        <w:rPr>
          <w:i/>
        </w:rPr>
        <w:t>Vägledning för hänsyn till pärluggla.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