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Stormyrbäcken i Bjurholms kommun</w:t>
      </w:r>
    </w:p>
    <w:p>
      <w:r>
        <w:t>Detta dokument behandlar höga naturvärden i avverkningsanmälan Stormyrbäcken i Bjurholms kommun. Denna avverkningsanmälan inkom 2025-07-23 och omfattar 14,0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28 naturvårdsarter hittats: trådbrosklav (EN), gräddticka (VU), knärot (VU, §8), rynkskinn (VU), ulltickeporing (VU), gammelgransskål (NT), garnlav (NT), granticka (NT), harticka (NT), Leptoporus mollis (NT), luddfingersvamp (NT), rosenticka (NT), stjärntagging (NT), tallticka (NT), talltita (NT, §4), tretåig hackspett (NT, §4), ullticka (NT), vedtrappmossa (NT), vitgrynig nållav (NT), bollvitmossa (S), källmossa (S), lappranunkel (S, §7), mörk husmossa (S), spindelblomster (S, §8), trådticka (S), vedticka (S), fläcknycklar (§8) och fläcknycklar × sumpnycklar (§8). Av dessa är 19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20746"/>
            <wp:docPr id="1" name="Picture 1"/>
            <wp:cNvGraphicFramePr>
              <a:graphicFrameLocks noChangeAspect="1"/>
            </wp:cNvGraphicFramePr>
            <a:graphic>
              <a:graphicData uri="http://schemas.openxmlformats.org/drawingml/2006/picture">
                <pic:pic>
                  <pic:nvPicPr>
                    <pic:cNvPr id="0" name="Stormyrbäcken karta.png"/>
                    <pic:cNvPicPr/>
                  </pic:nvPicPr>
                  <pic:blipFill>
                    <a:blip r:embed="rId16"/>
                    <a:stretch>
                      <a:fillRect/>
                    </a:stretch>
                  </pic:blipFill>
                  <pic:spPr>
                    <a:xfrm>
                      <a:off x="0" y="0"/>
                      <a:ext cx="5486400" cy="282074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7094738, E 696786 i SWEREF 99 TM.</w:t>
      </w:r>
    </w:p>
    <w:p>
      <w:r>
        <w:rPr>
          <w:b/>
        </w:rPr>
        <w:t xml:space="preserve">Bollvitmossa </w:t>
      </w:r>
      <w:r>
        <w:t>är en bra signalart inom hela sitt utbredningsområde. Vanligast är den i naturvårdsintressanta tallsumpskogar. Även gransumpskogar med bollvitmossa har normalt höga naturvärden. Arten indikerar skogsmark med stabila hydrologiska förhållanden och sannolikt även lång skoglig kontinuitet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Harticka (NT)</w:t>
      </w:r>
      <w:r>
        <w:t xml:space="preserve"> är normalt en mycket bra signalart för granskogar med höga naturvärden. Även när svampen påträffas i mer påverkade skogar är det nästan alltid fråga om skogsmiljöer i sena successionsstadier med höga naturvärden. Skogsskötselåtgärder på eller i omedelbar närhet av växtplatserna kan innebära ett hot mot arten (SLU Artdatabanken, 2024; Nitare &amp; Skogsstyrelsen, 2019).</w:t>
      </w:r>
    </w:p>
    <w:p>
      <w:r>
        <w:rPr>
          <w:b/>
          <w:i/>
        </w:rPr>
        <w:t xml:space="preserve">Leptoporus mollis </w:t>
      </w:r>
      <w:r>
        <w:rPr>
          <w:b/>
        </w:rPr>
        <w:t>(NT)</w:t>
      </w:r>
      <w:r>
        <w:t xml:space="preserve"> är granens kötticka och har klassificerats som ”gammelskogsindikator”, då den förekommer med ett tydligt optimum i äldre barrskogar, främst fuktiga granskogar. Den har högst signalvärde söder om den naturliga norrlandsgränsen </w:t>
      </w:r>
      <w:r>
        <w:rPr>
          <w:i/>
        </w:rPr>
        <w:t>limes norrlandicus</w:t>
      </w:r>
      <w:r>
        <w:t>, men signalerar vanligtvis höga naturvärden även i Norrland. Arten är knuten till miljöer med konstant luftfuktighet och känslig för uttorkning som en avverkning kan medföra. Den totala populationen bedöms därför ha minskat under de senaste 30 åren och fortsätter att minska i takt med att grankontinuitetsskogar (skogar som inte kalavverkats) minskar i areal, samtidigt som att lämpliga miljöer inte återskapas i samma takt (SLU Artdatabanken, 2024; Nitare &amp; Skogsstyrelsen, 2019).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Stjärntagging (NT)</w:t>
      </w:r>
      <w:r>
        <w:t xml:space="preserve"> signalerar inom hela sitt utbredningsområde höga naturvärden. Svampen är uttorkningskänslig och beroende av ett oförändrat fuktigt mikroklimat. Den är även beroende av en ständig tillgång på död ved i olika nedbrytningsstadier, dock ej nödvändigtvis grova träd. Tidigare påverkan på miljön måste dock ha varit så skonsam att det naturliga skogsekosystemet till stora delar har bevarats. Minskningstakten för den svenska populationen bedöms vara nära gränsvärdet för Sårbar (VU)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Trådbrosklav (EN)</w:t>
      </w:r>
      <w:r>
        <w:t xml:space="preserve"> är rödlistad som starkt hotad och förekommer huvudsakligen i brandrefugier med hög luftfuktighet som bäckraviner, bäckdråg och gransumpskogar. Eftersom arten huvudsakligen är knuten till produktiva gamla granbestånd är avverkningshotet stort och minskningstakten pågår och förväntas uppgå till 50 (40–70) % inom 50 år. Den är placerad högst upp i Skogsstyrelsens värdepyramid för bedömning av skog med höga naturvärden och skog där trådbrosklav förekommer bör helt undantas från skogsbruksåtgärder. Det är väsentligt att tillräckligt stora bestånd och breda kantzoner avsätts eftersom arten är känslig för uttorkning. Samtliga rika förekomster bör skyddas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Vitgrynig nållav (NT)</w:t>
      </w:r>
      <w:r>
        <w:t xml:space="preserve"> växer nästan uteslutande på bark av gamla, senvuxna granar i skuggiga lägen med hög och jämn luftfuktighet. Den vanligaste naturtypen för arten är kontinuitetsskogar på frisk mark men den finns också i sumpgranskogar. På lång sikt utgör avverkningar av olikåldriga granskogar av naturskogskaraktär ett allvarligt hot mot arten och skogsbruksåtgärder på eller i närheten av växtplatserna bör undvikas. Naturskogsartade, fuktiga granskogar med förekomster av arten signalerar höga biologiska värden och bör bevaras (SLU Artdatabanken, 2024; Nitare &amp; Skogsstyrelsen, 2019).</w:t>
      </w:r>
    </w:p>
    <w:p>
      <w:pPr>
        <w:pStyle w:val="Heading1"/>
      </w:pPr>
      <w:r>
        <w:t>Fridlysta arter</w:t>
      </w:r>
    </w:p>
    <w:p>
      <w:r>
        <w:t>Följande fridlysta arter har sina livsmiljöer och växtplatser i den avverkningsanmälda skogen: knärot (VU, §8), talltita (NT, §4), tretåig hackspett (NT, §4), lappranunkel (S, §7), spindelblomster (S, §8), fläcknycklar (§8) och fläcknycklar × sumpnycklar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3.07 ha med buffertzonerna och får av detta skäl inte avverkas.</w:t>
      </w:r>
    </w:p>
    <w:p>
      <w:pPr>
        <w:pStyle w:val="Caption"/>
      </w:pPr>
      <w:r>
        <w:drawing>
          <wp:inline xmlns:a="http://schemas.openxmlformats.org/drawingml/2006/main" xmlns:pic="http://schemas.openxmlformats.org/drawingml/2006/picture">
            <wp:extent cx="5486400" cy="3268559"/>
            <wp:docPr id="2" name="Picture 2"/>
            <wp:cNvGraphicFramePr>
              <a:graphicFrameLocks noChangeAspect="1"/>
            </wp:cNvGraphicFramePr>
            <a:graphic>
              <a:graphicData uri="http://schemas.openxmlformats.org/drawingml/2006/picture">
                <pic:pic>
                  <pic:nvPicPr>
                    <pic:cNvPr id="0" name="Stormyrbäcken karta knärot.png"/>
                    <pic:cNvPicPr/>
                  </pic:nvPicPr>
                  <pic:blipFill>
                    <a:blip r:embed="rId17"/>
                    <a:stretch>
                      <a:fillRect/>
                    </a:stretch>
                  </pic:blipFill>
                  <pic:spPr>
                    <a:xfrm>
                      <a:off x="0" y="0"/>
                      <a:ext cx="5486400" cy="326855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7094738, E 696786 i SWEREF 99 TM.</w:t>
      </w:r>
    </w:p>
    <w:p>
      <w:pPr>
        <w:pStyle w:val="Caption"/>
      </w:pPr>
    </w:p>
    <w:p>
      <w:r>
        <w:rPr>
          <w:b/>
        </w:rPr>
        <w:t>Lappranunkel (§7)</w:t>
      </w:r>
      <w:r>
        <w:t xml:space="preserve"> omfattas av EU:s art- och habitatdirektiv och är fridlyst enligt 7 § artskyddsförordningen vilket innebär att artens livsmiljöer inte får förstöras. Den är knuten till granskogsmiljöer med ytligt liggande markvatten och konstant hög luftfuktighet. Arten är känslig för kalavverkning och markskador men kan kortvarigt står kvar en tid i fuktsvackor efter en avverkning. Lokaler med lappranunkel får inte avverkas (Nitare &amp; Skogsstyrelsen, 2019; SLU Artdatabanken, 2024).</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26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28 naturvårdsarter varav 19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Lappranunkel – ekologi samt krav på livsmiljön</w:t>
      </w:r>
    </w:p>
    <w:p>
      <w:r>
        <w:t>Lappranunkel (§7) omfattas av EU:s art- och habitatdirektiv och fridlyst enligt 7 § artskyddsförordningen vilket innebär att artens livsmiljöer inte får förstöras.</w:t>
      </w:r>
    </w:p>
    <w:p>
      <w:pPr>
        <w:pStyle w:val="ListBullet"/>
      </w:pPr>
      <w:r>
        <w:t xml:space="preserve">7 § </w:t>
      </w:r>
      <w:r>
        <w:rPr>
          <w:i/>
        </w:rPr>
        <w:t>I fråga om sådana växtarter som i bilaga 1 till denna förordning har markerats med N är det förbjudet att avsiktligt plocka, samla in, skära av, dra upp med rötterna eller förstöra växter i deras naturliga utbredningsområde i naturen. Förbudet gäller alla stadier i växternas biologiska cykel.</w:t>
      </w:r>
    </w:p>
    <w:p>
      <w:r>
        <w:t>Lappranunkel är knuten till granskogsmiljöer med ytligt liggande markvatten och konstant hög luftfuktighet. Arten är känslig för kalavverkning och markskador men kan kortvarigt står kvar en tid i fuktsvackor efter en avverkning. Dikade lokaler bör restaureras hydrologiskt. Lokaler med lappranunkel får inte avverkas (Nitare, 2019; SLU Artdatabanken, 2024).</w:t>
      </w:r>
    </w:p>
    <w:p>
      <w:pPr>
        <w:pStyle w:val="Heading2"/>
      </w:pPr>
      <w:r>
        <w:t>Referenser – lappranunkel</w:t>
      </w:r>
    </w:p>
    <w:p>
      <w:r>
        <w:t xml:space="preserve">Nitare, J.,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2025-07-23</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