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Glesskallberget i Bjurholms kommun</w:t>
      </w:r>
    </w:p>
    <w:p>
      <w:r>
        <w:t>Denna tillsynsbegäran behandlar höga naturvärden i avverkningsanmälan Glesskallberget i Bjurholms kommun som inkom 2026-07-19 och omfattar 771,6 ha.</w:t>
      </w:r>
    </w:p>
    <w:p>
      <w:pPr>
        <w:pStyle w:val="Caption"/>
      </w:pPr>
      <w:r>
        <w:drawing>
          <wp:inline xmlns:a="http://schemas.openxmlformats.org/drawingml/2006/main" xmlns:pic="http://schemas.openxmlformats.org/drawingml/2006/picture">
            <wp:extent cx="5342399" cy="5724000"/>
            <wp:docPr id="1" name="Picture 1"/>
            <wp:cNvGraphicFramePr>
              <a:graphicFrameLocks noChangeAspect="1"/>
            </wp:cNvGraphicFramePr>
            <a:graphic>
              <a:graphicData uri="http://schemas.openxmlformats.org/drawingml/2006/picture">
                <pic:pic>
                  <pic:nvPicPr>
                    <pic:cNvPr id="0" name="Glesskallberget karta.png"/>
                    <pic:cNvPicPr/>
                  </pic:nvPicPr>
                  <pic:blipFill>
                    <a:blip r:embed="rId16"/>
                    <a:stretch>
                      <a:fillRect/>
                    </a:stretch>
                  </pic:blipFill>
                  <pic:spPr>
                    <a:xfrm>
                      <a:off x="0" y="0"/>
                      <a:ext cx="5342399"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har ett svart streck som visar fyndplatsens exakta position. Kartans mittpunktskoordinat är N 7075314, E 678447 i SWEREF 99 TM.</w:t>
      </w:r>
    </w:p>
    <w:p>
      <w:r>
        <w:t>I och inom 4 meter från avverkningsanmälan finns fynd av 29 naturvårdsarter, varav 18 är rödlistade, 8 är fridlysta, 24 är typiska (T) och 8 är signalarter (S): långskägg (EN, §8), doftticka (VU, T, §8), garnlav (VU, T), gränsticka (VU, T), lappticka (VU, T), pilgrimsfalk (VU, §4), ulltickeporing (VU), doftskinn (NT, T), gammelgransskål (NT, T), harticka (NT, T), hornvaxskinn (NT), lunglav (NT, T), rosenticka (NT, T), rynkskinn (NT, T), skrovellav (NT, T), tretåig hackspett (NT, T, §4), ullticka (NT, T), violettgrå tagellav (NT, T), bårdlav (S, T), luddlav (S, T), mörk husmossa (S, T), skinnlav (S, T), spindelblomster (S, T, §8), stor aspticka (S, T), stuplav (S, T), vedticka (S, T), järpe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Långskägg (EN, §8)</w:t>
      </w:r>
      <w:r>
        <w:t xml:space="preserve"> är en exklusiv och starkt hotad art som signalerar naturskogar med mycket höga naturvärden. Den är placerad högst upp i Skogsstyrelsens värdepyramid för bedömning av skog med höga naturvärden och fridlyst enligt 8 § artskyddsförordningen. Arten förekommer främst i urskogsartade granskogar i nord- eller östvända bergssluttningar men även i gransumpskog, myrkanter och längs bäckdråg och indikerar lång skoglig kontinuitet där lokalerna ofta utgörs av brandrefugier, det vill säga områden som inte brunnit under åtminstone de senaste 200–300 åren. Långskägg är mycket känslig för uttorkning och vindpåverkan och överlever inte en slutavverkning (inklusive hänsyn). Samtliga kvarvarande lokaler bör skyddas. Det finns även en akut hotad gelésvamp, </w:t>
      </w:r>
      <w:r>
        <w:rPr>
          <w:i/>
        </w:rPr>
        <w:t>Tremella confluens</w:t>
      </w:r>
      <w:r>
        <w:t xml:space="preserve"> (CR), som är associerad med långskägg (SLU Artdatabanken, 2026; Nitare &amp; Skogsstyrelsen, 2019).</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Pilgrimsfalk (VU, §4)</w:t>
      </w:r>
      <w:r>
        <w:t xml:space="preserve"> är rödlistad som sårbar och är upptagen i bilaga 1 EU:s fågeldirektiv. Den har minskat med 17.5 (15–20) % under de senaste 18 åren och minskningstakten överstiger gränsvärdet för sårbar (VU). Pilgrimsfalken häckar i branta klippväggar, där boet läggs på en öppen, svåråtkomlig klipphylla. Många av de bebodda klippstupen gränsar till skogsmark. Markhäckningar förekommer relativt frekvent på stora, blöta myrar i Norrbottens län. Tidigare var häckningar i risbon, framför allt i fiskgjusebon, förhållandevis vanligt men förekommer numera sällan. Lämna en skyddszon med träd mot häckningsplatsen (klippbranten), så att häckningsmiljön behålls oförändrad. Eventuell skog i själva rasbranten lämnas orörd. Vid häckning i risbon, avstå från avverkning inom 100 meter från boet.  Hänsyn bör tas även till äldre, dokumenterade häckningsplatser även om de för tillfället inte är i bruk (SLU Artdatabanken, 2026; Skogsstyrelsen, 2016).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gränsticka (VU, T), lappticka (VU, T), doftskinn (NT, T), gammelgransskål (NT, T), harticka (NT, T), lunglav (NT, T), rosenticka (NT, T), rynkskinn (NT, T), skrovellav (NT, T), tretåig hackspett (NT, T, §4), ullticka (NT, T), violettgrå tagellav (NT, T), bårdlav (S, T), luddlav (S, T), mörk husmossa (S, T), skinnlav (S, T), spindelblomster (S, T, §8), stor aspticka (S, T), stuplav (S, T), vedticka (S, T),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