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Kravattensliden i Bjurholms kommun</w:t>
      </w:r>
    </w:p>
    <w:p>
      <w:r>
        <w:t>Denna tillsynsbegäran behandlar höga naturvärden i avverkningsanmälan Kravattensliden i Bjurholms kommun som inkom 2026-07-18 och omfattar 535,2 ha.</w:t>
      </w:r>
    </w:p>
    <w:p>
      <w:pPr>
        <w:pStyle w:val="Caption"/>
      </w:pPr>
      <w:r>
        <w:drawing>
          <wp:inline xmlns:a="http://schemas.openxmlformats.org/drawingml/2006/main" xmlns:pic="http://schemas.openxmlformats.org/drawingml/2006/picture">
            <wp:extent cx="5486400" cy="5191920"/>
            <wp:docPr id="1" name="Picture 1"/>
            <wp:cNvGraphicFramePr>
              <a:graphicFrameLocks noChangeAspect="1"/>
            </wp:cNvGraphicFramePr>
            <a:graphic>
              <a:graphicData uri="http://schemas.openxmlformats.org/drawingml/2006/picture">
                <pic:pic>
                  <pic:nvPicPr>
                    <pic:cNvPr id="0" name="Kravattensliden karta.png"/>
                    <pic:cNvPicPr/>
                  </pic:nvPicPr>
                  <pic:blipFill>
                    <a:blip r:embed="rId16"/>
                    <a:stretch>
                      <a:fillRect/>
                    </a:stretch>
                  </pic:blipFill>
                  <pic:spPr>
                    <a:xfrm>
                      <a:off x="0" y="0"/>
                      <a:ext cx="5486400" cy="519192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7057669, E 673760 i SWEREF 99 TM.</w:t>
      </w:r>
    </w:p>
    <w:p>
      <w:r>
        <w:t>I och inom 12 meter från avverkningsanmälan finns fynd av 69 naturvårdsarter, varav 41 är rödlistade, 14 är fridlysta, 45 är typiska (T) och 21 är signalarter (S): långskägg (EN, §8), fläckporing (VU, T), garnlav (VU, T), gränsticka (VU, T), knärot (VU, T, §8), kristallticka (VU), lappticka (VU, T), liten aspgelélav (VU, T), norsk näverlav (VU), ostticka (VU, T), ringlav (VU), skuggnål (VU), ulltickeporing (VU), blanksvart spiklav (NT), blek lundlav (NT), blågrå svartspik (NT), doftskinn (NT, T), dvärgbägarlav (NT, T), gammelgransskål (NT, T), grönhjon (NT), harticka (NT, T), kattfotslav (NT, T), kolflarnlav (NT, T), lavskrika (NT, T, §4), lunglav (NT, T), mörk kolflarnlav (NT), oljetagging (NT), rosenticka (NT, T), rynkskinn (NT, T), skrovellav (NT, T), småflikig brosklav (NT, T), stjärntagging (NT, T), tallticka (NT, T), talltita (NT, §4), tretåig hackspett (NT, T, §4), ullticka (NT, T), vedflamlav (NT), vedskivlav (NT, T), violettgrå tagellav (NT, T), violmussling (NT, T), vitgrynig nållav (NT), barkticka (S, T), blodticka (S, T), bronshjon (S, T), bårdlav (S, T), dvärgtufs (S), granbarkgnagare (S, T), korallblylav (S, T), luddlav (S, T), mindre märgborre (S, T), mörk husmossa (S, T), plattlummer (S, T, §9), skinnlav (S, T), spindelblomster (S, T, §8), stuplav (S, T), svart trolldruva (S, T), thomsons trägnagare (S), Thymalus limbatus (S), trådticka (S, T), vedticka (S, T), vågbandad barkbock (S), ögonpyrola (S, T), spillkråka (T, §4), tjäder (T, §4), kungsfågel (§4), huggorm (§6),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8.03 ha med buffertzonerna och får av detta skäl inte avverkas.</w:t>
      </w:r>
    </w:p>
    <w:p>
      <w:pPr>
        <w:pStyle w:val="Caption"/>
      </w:pPr>
      <w:r>
        <w:drawing>
          <wp:inline xmlns:a="http://schemas.openxmlformats.org/drawingml/2006/main" xmlns:pic="http://schemas.openxmlformats.org/drawingml/2006/picture">
            <wp:extent cx="5486400" cy="4888740"/>
            <wp:docPr id="2" name="Picture 2"/>
            <wp:cNvGraphicFramePr>
              <a:graphicFrameLocks noChangeAspect="1"/>
            </wp:cNvGraphicFramePr>
            <a:graphic>
              <a:graphicData uri="http://schemas.openxmlformats.org/drawingml/2006/picture">
                <pic:pic>
                  <pic:nvPicPr>
                    <pic:cNvPr id="0" name="Kravattensliden karta knärot.png"/>
                    <pic:cNvPicPr/>
                  </pic:nvPicPr>
                  <pic:blipFill>
                    <a:blip r:embed="rId17"/>
                    <a:stretch>
                      <a:fillRect/>
                    </a:stretch>
                  </pic:blipFill>
                  <pic:spPr>
                    <a:xfrm>
                      <a:off x="0" y="0"/>
                      <a:ext cx="5486400" cy="48887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7057669, E 673760 i SWEREF 99 TM.</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Blek lundlav (NT)</w:t>
      </w:r>
      <w:r>
        <w:t xml:space="preserve"> växer på senvuxna aspar i öppna, asprika skogar med hög luftfuktighet i norra Sverige. Arten hotas främst av slutavverkning av naturskogsartad asprik barrskog. Många av de aspar som sparas i samband med avverkningar faller inom något år efter avverkningen på grund av alltför små eller obefintliga skyddszoner kring träden. Naturskogsartad asprik barrskog med blek lundlav indikerar höga biologiska värden och bör bevaras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gränsticka (VU, T), knärot (VU, T, §8), lappticka (VU, T), liten aspgelélav (VU, T), ostticka (VU, T), doftskinn (NT, T), dvärgbägarlav (NT, T), gammelgransskål (NT, T), harticka (NT, T), kattfotslav (NT, T), kolflarnlav (NT, T), lavskrika (NT, T, §4), lunglav (NT, T), rosenticka (NT, T), rynkskinn (NT, T), skrovellav (NT, T), småflikig brosklav (NT, T), stjärntagging (NT, T), tallticka (NT, T), tretåig hackspett (NT, T, §4), ullticka (NT, T), vedskivlav (NT, T), violettgrå tagellav (NT, T), violmussling (NT, T), barkticka (S, T), blodticka (S, T), bronshjon (S, T), bårdlav (S, T), granbarkgnagare (S, T), korallblylav (S, T), luddlav (S, T), mindre märgborre (S, T), mörk husmossa (S, T), plattlummer (S, T, §9), skinnlav (S, T), spindelblomster (S, T, §8), stuplav (S, T), svart trolldruva (S, T), trådticka (S, T), vedticka (S, T), ögonpyrola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