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Orratjärnskullen i Bjurholms kommun</w:t>
      </w:r>
    </w:p>
    <w:p>
      <w:r>
        <w:t>Denna tillsynsbegäran behandlar höga naturvärden i avverkningsanmälan Orratjärnskullen i Bjurholms kommun som inkom 2026-07-18 och omfattar 64,7 ha.</w:t>
      </w:r>
    </w:p>
    <w:p>
      <w:pPr>
        <w:pStyle w:val="Caption"/>
      </w:pPr>
      <w:r>
        <w:drawing>
          <wp:inline xmlns:a="http://schemas.openxmlformats.org/drawingml/2006/main" xmlns:pic="http://schemas.openxmlformats.org/drawingml/2006/picture">
            <wp:extent cx="5486400" cy="5503421"/>
            <wp:docPr id="1" name="Picture 1"/>
            <wp:cNvGraphicFramePr>
              <a:graphicFrameLocks noChangeAspect="1"/>
            </wp:cNvGraphicFramePr>
            <a:graphic>
              <a:graphicData uri="http://schemas.openxmlformats.org/drawingml/2006/picture">
                <pic:pic>
                  <pic:nvPicPr>
                    <pic:cNvPr id="0" name="Orratjärnskullen karta.png"/>
                    <pic:cNvPicPr/>
                  </pic:nvPicPr>
                  <pic:blipFill>
                    <a:blip r:embed="rId16"/>
                    <a:stretch>
                      <a:fillRect/>
                    </a:stretch>
                  </pic:blipFill>
                  <pic:spPr>
                    <a:xfrm>
                      <a:off x="0" y="0"/>
                      <a:ext cx="5486400" cy="550342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7100310, E 697114 i SWEREF 99 TM.</w:t>
      </w:r>
    </w:p>
    <w:p>
      <w:r>
        <w:t>I avverkningsanmälan finns fynd av 30 naturvårdsarter, varav 17 är rödlistade, 12 är fridlysta, 22 är typiska (T) och 5 är signalarter (S): garnlav (VU, T), gränsticka (VU, T), knärot (VU, T, §8), doftskinn (NT, T), dvärgbägarlav (NT, T), harticka (NT, T), kötticka (NT), lunglav (NT, T), mörk kolflarnlav (NT), rödvingetrast (NT, §4), småflikig brosklav (NT, T), stjärntagging (NT, T), talltita (NT, §4), tretåig hackspett (NT, T, §4), ullticka (NT, T), vedskivlav (NT, T), violettgrå tagellav (NT, T), bårdlav (S, T), luddlav (S, T), stor aspticka (S, T), stuplav (S, T), vedticka (S, T), gråspett (T, §4), järpe (T, §4), spillkråka (T, §4), tjäder (T, §4), kungsfågel (§4), svartvit flugsnappare (§4), fläcknycklar (§8) och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7450035"/>
            <wp:docPr id="2" name="Picture 2"/>
            <wp:cNvGraphicFramePr>
              <a:graphicFrameLocks noChangeAspect="1"/>
            </wp:cNvGraphicFramePr>
            <a:graphic>
              <a:graphicData uri="http://schemas.openxmlformats.org/drawingml/2006/picture">
                <pic:pic>
                  <pic:nvPicPr>
                    <pic:cNvPr id="0" name="Orratjärnskullen karta knärot.png"/>
                    <pic:cNvPicPr/>
                  </pic:nvPicPr>
                  <pic:blipFill>
                    <a:blip r:embed="rId17"/>
                    <a:stretch>
                      <a:fillRect/>
                    </a:stretch>
                  </pic:blipFill>
                  <pic:spPr>
                    <a:xfrm>
                      <a:off x="0" y="0"/>
                      <a:ext cx="5486400" cy="745003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7100310, E 697114 i SWEREF 99 TM.</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Småflikig brosklav (NT) </w:t>
      </w:r>
      <w:r>
        <w:t xml:space="preserve">signalerar i hela sitt utbredningsområde skogsbestånd med höga naturvärden. Den indikerar hög luftfuktighet och långvarig förekomst av asp. Småflikig brosklav är typisk art för </w:t>
      </w:r>
      <w:r>
        <w:rPr>
          <w:i/>
        </w:rPr>
        <w:t>9010 Taiga</w:t>
      </w:r>
      <w:r>
        <w:t xml:space="preserve"> (Nitare &amp; Skogsstyrelsen, 2019; SLU Artdatabanken, 2025).</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Gråspett (§4)</w:t>
      </w:r>
      <w:r>
        <w:t xml:space="preserve"> är fridlyst enligt 4§ artskyddsförordningen och upptagen i bilaga 1 fågeldirektivet. Gråspetten är en bra indikator för lövrika områden på landskapsnivå och försvinner när gles, flerskiktad, lövrik skog med hög andel döda och döende träd ersätts av täta, barrdominerade likåldriga bestånd. Arten missgynnas av skogliga åtgärder som minskar mängden död ved, som t.ex. bortrensning av vindfällen, avverkning i sumpskogsmiljöer och på brandfält. Häckningsreviret är stort, cirka 50–100 hektar. Under vintern är gråspetten mer beroende av äldre skog och döda träd och kan då röra sig över betydligt större områden, uppemot 2000–5000 hektar. Gråspett är typisk art för </w:t>
      </w:r>
      <w:r>
        <w:rPr>
          <w:i/>
        </w:rPr>
        <w:t xml:space="preserve">9010 Taiga </w:t>
      </w:r>
      <w:r>
        <w:t>(Skogsstyrelsen, 2016;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knärot (VU, T, §8), doftskinn (NT, T), dvärgbägarlav (NT, T), harticka (NT, T), lunglav (NT, T), småflikig brosklav (NT, T), stjärntagging (NT, T), tretåig hackspett (NT, T, §4), ullticka (NT, T), vedskivlav (NT, T), violettgrå tagellav (NT, T), bårdlav (S, T), luddlav (S, T), stor aspticka (S, T), stuplav (S, T), vedticka (S, T), gråspett (T, §4), järpe (T, §4),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