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Gålgoberget i Bjurholms kommun</w:t>
      </w:r>
    </w:p>
    <w:p>
      <w:r>
        <w:t>Denna tillsynsbegäran behandlar höga naturvärden i avverkningsanmälan Gålgoberget i Bjurholms kommun som inkom 2026-07-17 och omfattar 57,1 ha.</w:t>
      </w:r>
    </w:p>
    <w:p>
      <w:pPr>
        <w:pStyle w:val="Caption"/>
      </w:pPr>
      <w:r>
        <w:drawing>
          <wp:inline xmlns:a="http://schemas.openxmlformats.org/drawingml/2006/main" xmlns:pic="http://schemas.openxmlformats.org/drawingml/2006/picture">
            <wp:extent cx="5466636" cy="5724000"/>
            <wp:docPr id="1" name="Picture 1"/>
            <wp:cNvGraphicFramePr>
              <a:graphicFrameLocks noChangeAspect="1"/>
            </wp:cNvGraphicFramePr>
            <a:graphic>
              <a:graphicData uri="http://schemas.openxmlformats.org/drawingml/2006/picture">
                <pic:pic>
                  <pic:nvPicPr>
                    <pic:cNvPr id="0" name="Gålgoberget karta.png"/>
                    <pic:cNvPicPr/>
                  </pic:nvPicPr>
                  <pic:blipFill>
                    <a:blip r:embed="rId16"/>
                    <a:stretch>
                      <a:fillRect/>
                    </a:stretch>
                  </pic:blipFill>
                  <pic:spPr>
                    <a:xfrm>
                      <a:off x="0" y="0"/>
                      <a:ext cx="546663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7117919, E 679898 i SWEREF 99 TM.</w:t>
      </w:r>
    </w:p>
    <w:p>
      <w:r>
        <w:t>I och inom 21 meter från avverkningsanmälan finns fynd av 31 naturvårdsarter, varav 17 är rödlistade, 9 är fridlysta, 24 är typiska (T) och 9 är signalarter (S): garnlav (VU, T), knärot (VU, T, §8), blanksvart spiklav (NT), blågrå svartspik (NT), doftskinn (NT, T), gammelgransskål (NT, T), harticka (NT, T), lavskrika (NT, T, §4), lunglav (NT, T), skrovellav (NT, T), talltita (NT, §4), tretåig hackspett (NT, T, §4), ullticka (NT, T), vedskivlav (NT, T), vedtrappmossa (NT, T), violettgrå tagellav (NT, T), vitgrynig nållav (NT), bårdlav (S, T), gulnål (S, T), luddlav (S, T), mörk husmossa (S, T), norrlandslav (S, T), stor aspticka (S, T), stuplav (S, T), trådticka (S, T), vedticka (S, T), spillkråka (T, §4), tjäder (T, §4), kungsfågel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1.88 ha med buffertzonerna och får av detta skäl inte avverkas.</w:t>
      </w:r>
    </w:p>
    <w:p>
      <w:pPr>
        <w:pStyle w:val="Caption"/>
      </w:pPr>
      <w:r>
        <w:drawing>
          <wp:inline xmlns:a="http://schemas.openxmlformats.org/drawingml/2006/main" xmlns:pic="http://schemas.openxmlformats.org/drawingml/2006/picture">
            <wp:extent cx="5486400" cy="5131952"/>
            <wp:docPr id="2" name="Picture 2"/>
            <wp:cNvGraphicFramePr>
              <a:graphicFrameLocks noChangeAspect="1"/>
            </wp:cNvGraphicFramePr>
            <a:graphic>
              <a:graphicData uri="http://schemas.openxmlformats.org/drawingml/2006/picture">
                <pic:pic>
                  <pic:nvPicPr>
                    <pic:cNvPr id="0" name="Gålgoberget karta knärot.png"/>
                    <pic:cNvPicPr/>
                  </pic:nvPicPr>
                  <pic:blipFill>
                    <a:blip r:embed="rId17"/>
                    <a:stretch>
                      <a:fillRect/>
                    </a:stretch>
                  </pic:blipFill>
                  <pic:spPr>
                    <a:xfrm>
                      <a:off x="0" y="0"/>
                      <a:ext cx="5486400" cy="51319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7117919, E 679898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gammelgransskål (NT, T), harticka (NT, T), lavskrika (NT, T, §4), lunglav (NT, T), skrovellav (NT, T), tretåig hackspett (NT, T, §4), ullticka (NT, T), vedskivlav (NT, T), vedtrappmossa (NT, T), violettgrå tagellav (NT, T), bårdlav (S, T), gulnål (S, T), luddlav (S, T), mörk husmossa (S, T), norrlandslav (S, T), stor aspticka (S, T), stuplav (S, T), trådticka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