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Råtjärnberget i Bjurholms kommun</w:t>
      </w:r>
    </w:p>
    <w:p>
      <w:r>
        <w:t>Denna tillsynsbegäran behandlar höga naturvärden i avverkningsanmälan Råtjärnberget i Bjurholms kommun som inkom 2026-07-18 och omfattar 240,4 ha.</w:t>
      </w:r>
    </w:p>
    <w:p>
      <w:pPr>
        <w:pStyle w:val="Caption"/>
      </w:pPr>
      <w:r>
        <w:drawing>
          <wp:inline xmlns:a="http://schemas.openxmlformats.org/drawingml/2006/main" xmlns:pic="http://schemas.openxmlformats.org/drawingml/2006/picture">
            <wp:extent cx="5486400" cy="4371716"/>
            <wp:docPr id="1" name="Picture 1"/>
            <wp:cNvGraphicFramePr>
              <a:graphicFrameLocks noChangeAspect="1"/>
            </wp:cNvGraphicFramePr>
            <a:graphic>
              <a:graphicData uri="http://schemas.openxmlformats.org/drawingml/2006/picture">
                <pic:pic>
                  <pic:nvPicPr>
                    <pic:cNvPr id="0" name="Råtjärnberget karta.png"/>
                    <pic:cNvPicPr/>
                  </pic:nvPicPr>
                  <pic:blipFill>
                    <a:blip r:embed="rId16"/>
                    <a:stretch>
                      <a:fillRect/>
                    </a:stretch>
                  </pic:blipFill>
                  <pic:spPr>
                    <a:xfrm>
                      <a:off x="0" y="0"/>
                      <a:ext cx="5486400" cy="43717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7105841, E 677289 i SWEREF 99 TM.</w:t>
      </w:r>
    </w:p>
    <w:p>
      <w:r>
        <w:t>I avverkningsanmälan finns fynd av 77 naturvårdsarter, varav 46 är rödlistade, 17 är fridlysta, 49 är typiska (T) och 22 är signalarter (S): pärluggla (EN, T, §4), aspgelélav (VU, T), doftticka (VU, T, §8), fläckporing (VU, T), garnlav (VU, T), gräddporing (VU, T), gränsticka (VU, T), knärot (VU, T, §8), liten aspgelélav (VU, T), läderlappslav (VU, T), starrgräsfjäril (VU), aspbarkgnagare (NT), baltiskt skogsfly (NT), barkporlav (NT), blanksvart spiklav (NT), blågrå svartspik (NT), doftskinn (NT, T), dropptaggsvamp (NT, T), dvärgbägarlav (NT, T), gammelgransskål (NT, T), grå blåbärsfältmätare (NT), hornvaxskinn (NT), kandelabersvamp (NT, T), kolflarnlav (NT, T), kortskaftad ärgspik (NT), liten svartspik (NT), lunglav (NT, T), mörk kolflarnlav (NT), nordlig nållav (NT), nordtagging (NT), reliktbock (NT, T), rosenticka (NT, T), rynkskinn (NT, T), rödvingetrast (NT, §4), småflikig brosklav (NT, T), sotvaxskivling (NT), stiftgelélav (NT, T), talltagel (NT, T), talltita (NT, §4), tretåig hackspett (NT, T, §4), ullticka (NT, T), vedflamlav (NT), vedskivlav (NT, T), vedtrappmossa (NT, T), violettgrå tagellav (NT, T), vitgrynig nållav (NT), aspvedgnagare (S), barkkornlav (S, T), blodticka (S, T), bårdlav (S, T), dvärgtufs (S), gytterlav (S, T), luddlav (S, T), mindre märgborre (S, T), norrlandslav (S, T), nästlav (S, T), plattlummer (S, T, §9), robust tickgnagare (S), rävticka (S, T), skinnlav (S, T), spindelblomster (S, T, §8), spädstarr (S, T), stekelbock (S, T), stor aspticka (S, T), stuplav (S, T), traslav (S), vedticka (S, T), ögonpyrola (S, T), järpe (T, §4), spillkråka (T, §4), tjäder (T, §4), grönsiska (§4), kungsfågel (§4), fläcknycklar (§8), nattviol (§8),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32 fyndplatser för knärot registrerade på Artportalen. Figur 2 visar gränserna för buffertzoner på 50 m, som behöver lämnas kring fyndplatserna för att knärotslokalerna inte ska försvinna vid en avverkning. Av det avverkningsanmälda området överlappar 12.45 ha med buffertzonerna och får av detta skäl inte avverkas.</w:t>
      </w:r>
    </w:p>
    <w:p>
      <w:pPr>
        <w:pStyle w:val="Caption"/>
      </w:pPr>
      <w:r>
        <w:drawing>
          <wp:inline xmlns:a="http://schemas.openxmlformats.org/drawingml/2006/main" xmlns:pic="http://schemas.openxmlformats.org/drawingml/2006/picture">
            <wp:extent cx="5486400" cy="3974341"/>
            <wp:docPr id="2" name="Picture 2"/>
            <wp:cNvGraphicFramePr>
              <a:graphicFrameLocks noChangeAspect="1"/>
            </wp:cNvGraphicFramePr>
            <a:graphic>
              <a:graphicData uri="http://schemas.openxmlformats.org/drawingml/2006/picture">
                <pic:pic>
                  <pic:nvPicPr>
                    <pic:cNvPr id="0" name="Råtjärnberget karta knärot.png"/>
                    <pic:cNvPicPr/>
                  </pic:nvPicPr>
                  <pic:blipFill>
                    <a:blip r:embed="rId17"/>
                    <a:stretch>
                      <a:fillRect/>
                    </a:stretch>
                  </pic:blipFill>
                  <pic:spPr>
                    <a:xfrm>
                      <a:off x="0" y="0"/>
                      <a:ext cx="5486400" cy="39743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7105841, E 677289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Aspbarkgnagare (NT)</w:t>
      </w:r>
      <w:r>
        <w:t xml:space="preserve"> är en globalt rödlistad art som omfattas av EU:s art- och habitatdirektiv och ingår i ett åtgärdsprogram (ÅGP) för hotade arter på asp i Norrland. Artens larvutveckling sker i solbelyst, skadad eller död bark av asp. Larver kan påträffas både på levande och på helt döda stammar. Ibland angrips även nedfallna döda, grova grenar. Larverna lever strax under den hårda ytterbarken och gnager otydliga gångar i den ganska luckra innerbarken. De påträffas ofta runt gamla stamskador där barken fått en mycket ojämn struktur – ofta påträffas även arter av barkborresläktet </w:t>
      </w:r>
      <w:r>
        <w:rPr>
          <w:i/>
        </w:rPr>
        <w:t xml:space="preserve">Trypophloeus </w:t>
      </w:r>
      <w:r>
        <w:t>på samma ställe (SLU Artdatabanken, 2026; IUCN, 2025; Wikars &amp; Hedenås, 2010).</w:t>
      </w:r>
    </w:p>
    <w:p>
      <w:r>
        <w:t>Aspbarkgnagaren är listad i EU:s art- och habitatdirektiv (Rådets direktiv 92/43/EEG) och är därmed en s.k. Natura 2000-art. Det betyder att artens gynnsamma bevarandestatus ska bibehållas eller återställas. Tillräckligt många Natura 2000-områden skall pekas ut för arten, spridda över det ursprungliga utbredningsområdet, så att arten kan nå en utbredning och population som medger att den kan överleva långsiktigt. Arten hotas av att mängden äldre asprik skog minskat i skogslandskapet under det senaste seklet samt att aspskogar inte förnyas i tillräcklig grad (Wikars &amp; Hedenås, 2010). Röjning, gallring och avverkning av asp i de landskapsområden där arten fortfarande förekommer är ett direkt hot mot artens långsiktiga överlevnad.</w:t>
      </w:r>
    </w:p>
    <w:p>
      <w:r>
        <w:rPr>
          <w:b/>
        </w:rPr>
        <w:t>Baltiskt skogsfly (NT)</w:t>
      </w:r>
      <w:r>
        <w:t xml:space="preserve"> förekommer i blåbärsgranskogar, särskilt i äldre lavrika barrskogar där den lokalt kan uppträda talrikt. Arten har minskat kraftigt sedan millennieskiftet. Minskningen är störst i den södra halvan av utbredningsområdet men även längre norrut har minskningar kunnat observeras. Det främsta hotet är kalhyggesbruk och det är viktigt att äldre barrskogar med lång kontinuitet bevaras. Vid avverkning är det viktigt att skogspartier sparas och att korridorer bevaras så att arterna kan förflytta sig i det skogslandskap som blir kvar efter en naturanpassad avverkning som tar hänsyn till naturvärdena (SLU Artdatabanken, 2024).</w:t>
      </w:r>
    </w:p>
    <w:p>
      <w:r>
        <w:rPr>
          <w:b/>
        </w:rPr>
        <w:t>Barkporlav (NT)</w:t>
      </w:r>
      <w:r>
        <w:t xml:space="preserve"> växer främst på äldre lövträd i lövrika barrskogar av naturskogskaraktär med hög luftfuktighet. Flera av växtplatserna är vid större vattenfall, där forsdimma ger hög och jämn luftfuktighet. Det huvudsakliga hotet mot arten är skogsavverkningar och det finns inga uppgifter om att arten överlever på lövträd som har ställts kvar efter slutavverkning. Kända lokaler bör skyddas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Spädstarr </w:t>
      </w:r>
      <w:r>
        <w:t xml:space="preserve">är typisk art för </w:t>
      </w:r>
      <w:r>
        <w:rPr>
          <w:i/>
        </w:rPr>
        <w:t xml:space="preserve">9080 Lövsumpskog </w:t>
      </w:r>
      <w:r>
        <w:t>(SLU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pärluggla (EN, T, §4), aspgelélav (VU, T), doftticka (VU, T, §8), fläckporing (VU, T), garnlav (VU, T), gräddporing (VU, T), gränsticka (VU, T), knärot (VU, T, §8), liten aspgelélav (VU, T), läderlappslav (VU, T), doftskinn (NT, T), dropptaggsvamp (NT, T), dvärgbägarlav (NT, T), gammelgransskål (NT, T), kandelabersvamp (NT, T), kolflarnlav (NT, T), lunglav (NT, T), reliktbock (NT, T), rosenticka (NT, T), rynkskinn (NT, T), småflikig brosklav (NT, T), stiftgelélav (NT, T), talltagel (NT, T), tretåig hackspett (NT, T, §4), ullticka (NT, T), vedskivlav (NT, T), vedtrappmossa (NT, T), violettgrå tagellav (NT, T), barkkornlav (S, T), blodticka (S, T), bårdlav (S, T), gytterlav (S, T), luddlav (S, T), mindre märgborre (S, T), norrlandslav (S, T), nästlav (S, T), plattlummer (S, T, §9), rävticka (S, T), skinnlav (S, T), spindelblomster (S, T, §8), spädstarr (S, T), stekelbock (S, T), stor aspticka (S, T), stuplav (S, T), vedticka (S, T), ögonpyrola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Aspbarkgnagare – ekologi samt krav på livsmiljön</w:t>
      </w:r>
    </w:p>
    <w:p>
      <w:r>
        <w:t xml:space="preserve">Aspbarkgnagare (NT) är en globalt rödlistad art som omfattas av EU:s art- och habitatdirektiv och ingår i ett åtgärdsprogram (ÅGP) för hotade arter på asp i Norrland. Artens larvutveckling sker i solbelyst, skadad eller död bark av asp. Larver kan påträffas både på levande och på helt döda stammar. Ibland angrips även nedfallna döda, grova grenar. Larverna lever strax under den hårda ytterbarken och gnager otydliga gångar i den ganska luckra innerbarken. De påträffas ofta runt gamla stamskador där barken fått en mycket ojämn struktur – ofta påträffas även arter av barkborresläktet </w:t>
      </w:r>
      <w:r>
        <w:rPr>
          <w:i/>
        </w:rPr>
        <w:t xml:space="preserve">Trypophloeus </w:t>
      </w:r>
      <w:r>
        <w:t>på samma ställe (SLU Artdatabanken, 2026; IUCN, 2025; Wikars &amp; Hedenås, 2010).</w:t>
      </w:r>
    </w:p>
    <w:p>
      <w:r>
        <w:t>Aspbarkgnagaren är listad i EU:s art- och habitatdirektiv (Rådets direktiv 92/43/EEG) och är därmed en s.k. Natura 2000-art. Det betyder att artens gynnsamma bevarandestatus ska bibehållas eller återställas. Tillräckligt många Natura 2000-områden skall pekas ut för arten, spridda över det ursprungliga utbredningsområdet, så att arten kan nå en utbredning och population som medger att den kan överleva långsiktigt. Arten hotas av att mängden äldre asprik skog minskat i skogslandskapet under det senaste seklet samt att aspskogar inte förnyas i tillräcklig grad (Wikars &amp; Hedenås, 2010). Röjning, gallring och avverkning av asp i de landskapsområden där arten fortfarande förekommer är ett direkt hot mot artens långsiktiga överlevnad.</w:t>
      </w:r>
    </w:p>
    <w:p>
      <w:pPr>
        <w:pStyle w:val="Heading2"/>
      </w:pPr>
      <w:r>
        <w:t>Referenser – aspbarkgnagare</w:t>
      </w:r>
    </w:p>
    <w:p>
      <w:r>
        <w:t xml:space="preserve">IUCN, 2025. </w:t>
      </w:r>
      <w:r>
        <w:rPr>
          <w:i/>
        </w:rPr>
        <w:t>Xyletinus tremulicola</w:t>
      </w:r>
      <w:r>
        <w:t>. The IUCN Red List of Threatened Species.</w:t>
      </w:r>
    </w:p>
    <w:p>
      <w:r>
        <w:t xml:space="preserve">SLU Artdatabanken, 2026. </w:t>
      </w:r>
      <w:r>
        <w:rPr>
          <w:i/>
        </w:rPr>
        <w:t xml:space="preserve">Artfaktablad. Naturvård – artfakta. </w:t>
      </w:r>
      <w:r>
        <w:t>SLU Artdatabanken, Uppsala</w:t>
      </w:r>
    </w:p>
    <w:p>
      <w:r>
        <w:t xml:space="preserve">Wikars, L-O. &amp; Hedenås, H., 2010. </w:t>
      </w:r>
      <w:r>
        <w:rPr>
          <w:i/>
        </w:rPr>
        <w:t>Åtgärdsprogram för hotade arter på asp i Norrland 2010–2014</w:t>
      </w:r>
      <w:r>
        <w:t>. Rapport 6393. Juni 2010</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