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Kravattensliden i Bjurholms kommun</w:t>
      </w:r>
    </w:p>
    <w:p>
      <w:r>
        <w:t>Detta klagomål behandlar höga naturvärden i avverkningsanmälan Kravattensliden i Bjurholms kommun som inkom 2026-07-17 och omfattar 535,2 ha.</w:t>
      </w:r>
    </w:p>
    <w:p>
      <w:pPr>
        <w:pStyle w:val="Caption"/>
      </w:pPr>
      <w:r>
        <w:drawing>
          <wp:inline xmlns:a="http://schemas.openxmlformats.org/drawingml/2006/main" xmlns:pic="http://schemas.openxmlformats.org/drawingml/2006/picture">
            <wp:extent cx="5486400" cy="5191920"/>
            <wp:docPr id="1" name="Picture 1"/>
            <wp:cNvGraphicFramePr>
              <a:graphicFrameLocks noChangeAspect="1"/>
            </wp:cNvGraphicFramePr>
            <a:graphic>
              <a:graphicData uri="http://schemas.openxmlformats.org/drawingml/2006/picture">
                <pic:pic>
                  <pic:nvPicPr>
                    <pic:cNvPr id="0" name="Kravattensliden karta.png"/>
                    <pic:cNvPicPr/>
                  </pic:nvPicPr>
                  <pic:blipFill>
                    <a:blip r:embed="rId16"/>
                    <a:stretch>
                      <a:fillRect/>
                    </a:stretch>
                  </pic:blipFill>
                  <pic:spPr>
                    <a:xfrm>
                      <a:off x="0" y="0"/>
                      <a:ext cx="5486400" cy="5191920"/>
                    </a:xfrm>
                    <a:prstGeom prst="rect"/>
                  </pic:spPr>
                </pic:pic>
              </a:graphicData>
            </a:graphic>
          </wp:inline>
        </w:drawing>
      </w:r>
    </w:p>
    <w:p>
      <w:pPr>
        <w:pStyle w:val="Caption"/>
        <w:spacing w:after="240"/>
      </w:pPr>
      <w:r>
        <w:t>Figur 1. Fyndplatser för naturvårdsarter i och inom 12 meter från avverkningsanmälan. Markörer utan svart kant är placerade på fyndplatsen. Markörer med svart kant är placerade vid sidan av fyndplatsen har ett svart streck som visar fyndplatsens exakta position. Kartans mittpunktskoordinat är N 7057669, E 673760 i SWEREF 99 TM.</w:t>
      </w:r>
    </w:p>
    <w:p>
      <w:r>
        <w:t>I och inom 12 meter från avverkningsanmälan finns fynd av 69 naturvårdsarter, varav 41 är rödlistade, 14 är fridlysta, 45 är typiska (T) och 21 är signalarter (S): långskägg (EN, §8), fläckporing (VU, T), garnlav (VU, T), gränsticka (VU, T), knärot (VU, T, §8), kristallticka (VU), lappticka (VU, T), liten aspgelélav (VU, T), norsk näverlav (VU), ostticka (VU, T), ringlav (VU), skuggnål (VU), ulltickeporing (VU), blanksvart spiklav (NT), blek lundlav (NT), blågrå svartspik (NT), doftskinn (NT, T), dvärgbägarlav (NT, T), gammelgransskål (NT, T), grönhjon (NT), harticka (NT, T), kattfotslav (NT, T), kolflarnlav (NT, T), lavskrika (NT, T, §4), lunglav (NT, T), mörk kolflarnlav (NT), oljetagging (NT), rosenticka (NT, T), rynkskinn (NT, T), skrovellav (NT, T), småflikig brosklav (NT, T), stjärntagging (NT, T), tallticka (NT, T), talltita (NT, §4), tretåig hackspett (NT, T, §4), ullticka (NT, T), vedflamlav (NT), vedskivlav (NT, T), violettgrå tagellav (NT, T), violmussling (NT, T), vitgrynig nållav (NT), barkticka (S, T), blodticka (S, T), bronshjon (S, T), bårdlav (S, T), dvärgtufs (S), granbarkgnagare (S, T), korallblylav (S, T), luddlav (S, T), mindre märgborre (S, T), mörk husmossa (S, T), plattlummer (S, T, §9), skinnlav (S, T), spindelblomster (S, T, §8), stuplav (S, T), svart trolldruva (S, T), thomsons trägnagare (S), Thymalus limbatus (S), trådticka (S, T), vedticka (S, T), vågbandad barkbock (S), ögonpyrola (S, T), spillkråka (T, §4), tjäder (T, §4), kungsfågel (§4), huggorm (§6), fläcknycklar (§8), nattviol (§8)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Långskägg (EN, §8)</w:t>
      </w:r>
      <w:r>
        <w:t xml:space="preserve"> är en exklusiv och starkt hotad art som signalerar naturskogar med mycket höga naturvärden. Den är placerad högst upp i Skogsstyrelsens värdepyramid för bedömning av skog med höga naturvärden och fridlyst enligt 8 § artskyddsförordningen. Arten förekommer främst i urskogsartade granskogar i nord- eller östvända bergssluttningar men även i gransumpskog, myrkanter och längs bäckdråg och indikerar lång skoglig kontinuitet där lokalerna ofta utgörs av brandrefugier, det vill säga områden som inte brunnit under åtminstone de senaste 200–300 åren. Långskägg är mycket känslig för uttorkning och vindpåverkan och överlever inte en slutavverkning (inklusive hänsyn). Samtliga kvarvarande lokaler bör skyddas. Det finns även en akut hotad gelésvamp, </w:t>
      </w:r>
      <w:r>
        <w:rPr>
          <w:i/>
        </w:rPr>
        <w:t>Tremella confluens</w:t>
      </w:r>
      <w:r>
        <w:t xml:space="preserve"> (CR), som är associerad med långskägg (SLU Artdatabanken, 2026; Nitare &amp; Skogsstyrelsen, 2019).</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Fläckporing är typisk art för </w:t>
      </w:r>
      <w:r>
        <w:rPr>
          <w:i/>
        </w:rPr>
        <w:t>9010 Taiga</w:t>
      </w:r>
      <w:r>
        <w:t xml:space="preserve"> (SLU Artdatabanken, 2024; Nitare &amp; Skogsstyrelsen, 2019).</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11 fyndplatser för knärot registrerade på Artportalen. Figur 2 visar gränserna för buffertzoner på 50 m, som behöver lämnas kring fyndplatserna för att knärotslokalerna inte ska försvinna vid en avverkning. Av det avverkningsanmälda området överlappar 8.03 ha med buffertzonerna och får av detta skäl inte avverkas.</w:t>
      </w:r>
    </w:p>
    <w:p>
      <w:pPr>
        <w:pStyle w:val="Caption"/>
      </w:pPr>
      <w:r>
        <w:drawing>
          <wp:inline xmlns:a="http://schemas.openxmlformats.org/drawingml/2006/main" xmlns:pic="http://schemas.openxmlformats.org/drawingml/2006/picture">
            <wp:extent cx="5486400" cy="4888740"/>
            <wp:docPr id="2" name="Picture 2"/>
            <wp:cNvGraphicFramePr>
              <a:graphicFrameLocks noChangeAspect="1"/>
            </wp:cNvGraphicFramePr>
            <a:graphic>
              <a:graphicData uri="http://schemas.openxmlformats.org/drawingml/2006/picture">
                <pic:pic>
                  <pic:nvPicPr>
                    <pic:cNvPr id="0" name="Kravattensliden karta knärot.png"/>
                    <pic:cNvPicPr/>
                  </pic:nvPicPr>
                  <pic:blipFill>
                    <a:blip r:embed="rId17"/>
                    <a:stretch>
                      <a:fillRect/>
                    </a:stretch>
                  </pic:blipFill>
                  <pic:spPr>
                    <a:xfrm>
                      <a:off x="0" y="0"/>
                      <a:ext cx="5486400" cy="4888740"/>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7057669, E 673760 i SWEREF 99 TM.</w:t>
      </w:r>
    </w:p>
    <w:p>
      <w:r>
        <w:rPr>
          <w:b/>
        </w:rPr>
        <w:t>Kristallticka (VU)</w:t>
      </w:r>
      <w:r>
        <w:t xml:space="preserve"> är en mycket krävande art som växer i urskogsartade barrnaturskogar där det finns rikligt med grov död ved i olika nedbrytningsstadier. Den är placerad högst upp i Skogsstyrelsens värdepyramid för bedömning av skog med höga naturvärden och är en av våra främsta naturvärdesindikatorer på skyddsvärda barrnaturskogar. Alla skogsskötselåtgärder på eller i omedelbar närhet av lokalerna påverkar arten negativt liksom den minskande andelen död ved i kulturskogarna (SLU Artdatabanken, 2024; Nitare &amp; Skogsstyrelsen, 2019).</w:t>
      </w:r>
    </w:p>
    <w:p>
      <w:r>
        <w:rPr>
          <w:b/>
        </w:rPr>
        <w:t>Lappticka (VU)</w:t>
      </w:r>
      <w:r>
        <w:t xml:space="preserve">, rödlistad som sårbar, är knuten till gamla granskogar med riklig förekomst av död ved. Den klassas som en “urskogsindikator” och alla skogsskötselåtgärder på eller i omedelbar närhet av lokalerna utgör ett hot. Lappticka är typisk art för </w:t>
      </w:r>
      <w:r>
        <w:rPr>
          <w:i/>
        </w:rPr>
        <w:t>9010 Taiga</w:t>
      </w:r>
      <w:r>
        <w:t xml:space="preserve"> (Nitare &amp; Skogsstyrelsen, 2019; SLU Artdatabanken, 2024).</w:t>
      </w:r>
    </w:p>
    <w:p>
      <w:r>
        <w:rPr>
          <w:b/>
        </w:rPr>
        <w:t>Liten aspgelélav (VU)</w:t>
      </w:r>
      <w:r>
        <w:t xml:space="preserve">, rödlistad som sårbar, växer på asp i halvöppna boreala blandskogar med hög och jämn luftfuktighet. Den omfattas av åtgärdsprogram (ÅGP) för hotade arter på asp i Norrland och är placerad i toppen av Skogsstyrelsens värdepyramid för bedömning av skog med höga naturvärden. Arten har ett mycket högt skyddsvärde då en mycket stor andel (mer än 90 %) av samtliga kända lokaler i världen finns i Sverige. Samtliga lokaler måste skyddas och inslaget av asp i skogsmark måste öka på lång sikt. Liten aspgelélav är typisk art för </w:t>
      </w:r>
      <w:r>
        <w:rPr>
          <w:i/>
        </w:rPr>
        <w:t>9010 Taiga</w:t>
      </w:r>
      <w:r>
        <w:t xml:space="preserve"> (Naturvårdsverket, 2010; Nitare &amp; Skogsstyrelsen, 2019; SLU Artdatabanken, 2024).</w:t>
      </w:r>
    </w:p>
    <w:p>
      <w:r>
        <w:rPr>
          <w:b/>
        </w:rPr>
        <w:t>Norsk näverlav (VU)</w:t>
      </w:r>
      <w:r>
        <w:t>, rödlistad som sårbar, är en suboceanisk art och påträffas bara i områden med hög och jämn luftfuktighet. Den växer i fuktiga granskogar, främst på stammar eller grenar av äldre björkar och granar. Arten är placerad i toppen av Skogsstyrelsens värdepyramid för bedömning av skog med höga naturvärden och försvinner eller missgynnas starkt vid all form av avverkning på eller i anslutning till lokalerna. Norsk näverlav har en hög andel av sin världspopulation i Norge och Sverige vilket medför ett särskilt ansvar för arten (Nitare &amp; Skogsstyrelsen, 2019; SLU Artdatabanken, 2024).</w:t>
      </w:r>
    </w:p>
    <w:p>
      <w:r>
        <w:rPr>
          <w:b/>
        </w:rPr>
        <w:t xml:space="preserve">Ostticka (VU) </w:t>
      </w:r>
      <w:r>
        <w:t xml:space="preserve">växer huvudsakligen på grova granlågor i urskogsartad barrskog. Växtplatserna ligger vanligtvis i brandrefugiala områden med relativt hög luftfuktighet där skogen under lång tid haft en intern beståndsdynamik med successivt avdöende träd. Alla skogsskötselåtgärder på eller i omedelbar närhet av lokalerna inverkar negativt på artens fortlevnad. Ostticka är typisk art för </w:t>
      </w:r>
      <w:r>
        <w:rPr>
          <w:i/>
        </w:rPr>
        <w:t xml:space="preserve">9010 Taiga </w:t>
      </w:r>
      <w:r>
        <w:t xml:space="preserve">och </w:t>
      </w:r>
      <w:r>
        <w:rPr>
          <w:i/>
        </w:rPr>
        <w:t>9030 Landhöjningsskog</w:t>
      </w:r>
      <w:r>
        <w:t xml:space="preserve"> (SLU Artdatabanken, 2024; Nitare &amp; Skogsstyrelsen, 2019).</w:t>
      </w:r>
    </w:p>
    <w:p>
      <w:r>
        <w:rPr>
          <w:b/>
        </w:rPr>
        <w:t>Ringlav (VU)</w:t>
      </w:r>
      <w:r>
        <w:t>, rödlistad som sårbar, växer oftast på gran och tall i brandrefugiala halvöppna skogar med hög och jämn luftfuktighet. Under de senaste 50 åren har minskningstakten uppgått till 30 (20–40) %. Hur mycket den kommer att minska i framtiden beror på vad som kommer att ske med de stora förekomster som hittats men som ännu saknar skydd. Arten, som är placerad i toppen på Skogsstyrelsen värdepyramid för bedömning av skog med höga naturvärden, är ytterst känslig för förändringar i mikroklimatet och den överlever inte i skogsbestånd som gränsar till kalhyggen. Lavens förekomster tillsammans med väl tilltagna skyddszoner måste skyddas och undantas från produktionsinriktat skogsbruk (SLU Artdatabanken, 2024; Nitare &amp; Skogsstyrelsen, 2019).</w:t>
      </w:r>
    </w:p>
    <w:p>
      <w:r>
        <w:rPr>
          <w:b/>
        </w:rPr>
        <w:t xml:space="preserve">Skuggnål (VU) </w:t>
      </w:r>
      <w:r>
        <w:t>växer främst vid basen av gamla grova granar i gamla boreala barrskogar med hög bonitet och mycket hög luftfuktighet. Minskningstakten har uppgått till 30 (20–50) % under de senaste 50 åren och överstiger gränsvärdet för Sårbar (VU) enligt A-kriteriet. (A2bc+4bc). Vid skogliga inventeringar är skuggnål en art som måste eftersökas och dess växtplatser ska bedömas som nyckelbiotoper (SLU Artdatabanken, 2024).</w:t>
      </w:r>
    </w:p>
    <w:p>
      <w:r>
        <w:rPr>
          <w:b/>
        </w:rPr>
        <w:t xml:space="preserve">Ulltickeporing </w:t>
      </w:r>
      <w:r>
        <w:rPr>
          <w:b/>
          <w:i/>
        </w:rPr>
        <w:t>Skeletocutis brevispora</w:t>
      </w:r>
      <w:r>
        <w:rPr>
          <w:b/>
        </w:rPr>
        <w:t xml:space="preserve"> (VU)</w:t>
      </w:r>
      <w:r>
        <w:t>,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2024).</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Blek lundlav (NT)</w:t>
      </w:r>
      <w:r>
        <w:t xml:space="preserve"> växer på senvuxna aspar i öppna, asprika skogar med hög luftfuktighet i norra Sverige. Arten hotas främst av slutavverkning av naturskogsartad asprik barrskog. Många av de aspar som sparas i samband med avverkningar faller inom något år efter avverkningen på grund av alltför små eller obefintliga skyddszoner kring träden. Naturskogsartad asprik barrskog med blek lundlav indikerar höga biologiska värden och bör bevaras (SLU Artdatabanken, 2026).</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Grönhjon (NT)</w:t>
      </w:r>
      <w:r>
        <w:t xml:space="preserve"> är en skalbagge vars larvutveckling framför allt sker i grovbarkiga grenar (minst 3–5 cm tjocka) på gamla granar, men även i klena stamdelar av barrträd, främst gran, i mindre omfattning tall. Arten är knuten till gamla och gärna glesa granskogar där det finns långsamväxande träd med välutvecklat grenverk. Larverna lever i den skrovliga barken och gör en flera cm bred platt gång som mest liknar en rund håla och är tydligt nedsänkt i vedytan. I kanten av eller mitt på gången finner man en 5 mm bred, oval gång in i grenens ved där arten gör sin puppkammare. Insekten kläcks sedan ut genom samma gång. Främsta hotet är att gamla granar med grova grenar försvinner genom skogsbruk. Äldre granbestånd bör sparas så långt det är möjligt, och inte gallras eller slutavverkas (SLU Artdatabanken, 2024).</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Oljetagging (NT)</w:t>
      </w:r>
      <w:r>
        <w:t xml:space="preserve"> är en nedbrytare på grova liggande stammar av asp, sällsynt andra lövträd. Påträffas framförallt i fuktiga lägen i löv- och blandskog, t ex äldre bondeskogar men också i naturskogsartad barrskog med aspinslag. Arten påverkas negativt av brist på död ved och den totala populationen i landet bedöms fortfarande minska fortlöpande, framförallt på grund av att äldre aspbestånd i sluten, fuktig miljö slutavverkas eller gallras i en snabbare takt än vad lämpliga miljöer nybildas (SLU Artdatabanken, 2026).</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 xml:space="preserve">Småflikig brosklav (NT) </w:t>
      </w:r>
      <w:r>
        <w:t xml:space="preserve">signalerar i hela sitt utbredningsområde skogsbestånd med höga naturvärden. Den indikerar hög luftfuktighet och långvarig förekomst av asp. Småflikig brosklav är typisk art för </w:t>
      </w:r>
      <w:r>
        <w:rPr>
          <w:i/>
        </w:rPr>
        <w:t>9010 Taiga</w:t>
      </w:r>
      <w:r>
        <w:t xml:space="preserve"> (Nitare &amp; Skogsstyrelsen, 2019; SLU Artdatabanken, 2025).</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Stjärntagging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Violmussling (NT)</w:t>
      </w:r>
      <w:r>
        <w:t xml:space="preserve"> växer på döda, oftast omkullfallna stammar av gran eller tall. De flesta fynden har gjorts i gammal, orörd skog och arten är en mycket god indikator på förekomst av lång skoglig kontinuitet. Platser som hyser stora bestånd av violmussling bör i första hand skyddas och undantas från skogsbruk. Flera sällsynta och mycket sällsynta tickor och skalbaggar är mer eller mindre starkt associerade med violtickor </w:t>
      </w:r>
      <w:r>
        <w:rPr>
          <w:i/>
        </w:rPr>
        <w:t>Trichaptum spp.</w:t>
      </w:r>
      <w:r>
        <w:t xml:space="preserve"> och död ved som först rötats av någon </w:t>
      </w:r>
      <w:r>
        <w:rPr>
          <w:i/>
        </w:rPr>
        <w:t>Trichaptum-art</w:t>
      </w:r>
      <w:r>
        <w:t>. Bland dessa kan nämnas gul mjukporing (CR), lämmelporing (CR), kilporing (VU), parasitporing (VU), gropig brunbagge (NT), gulbandad brunbagge</w:t>
      </w:r>
      <w:r>
        <w:rPr>
          <w:i/>
        </w:rPr>
        <w:t xml:space="preserve"> </w:t>
      </w:r>
      <w:r>
        <w:t>(NT) och brunkantad brunbagge</w:t>
      </w:r>
      <w:r>
        <w:rPr>
          <w:i/>
        </w:rPr>
        <w:t xml:space="preserve"> </w:t>
      </w:r>
      <w:r>
        <w:t xml:space="preserve">(DD). Violmussling är typisk art för </w:t>
      </w:r>
      <w:r>
        <w:rPr>
          <w:i/>
        </w:rPr>
        <w:t>9010 Taiga</w:t>
      </w:r>
      <w:r>
        <w:t xml:space="preserve"> (SLU Artdatabanken, 2026;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Barkticka</w:t>
      </w:r>
      <w:r>
        <w:t xml:space="preserve"> är en vednedbrytare som växer på barken av döda lövträd, främst asp, men någon gång även på björk eller andra trädslag. På sina växtplatser förekommer den gärna tillsammans med flera ovanliga och rödlistade arter, till exempel olika insekter. Barkticka är typisk art för </w:t>
      </w:r>
      <w:r>
        <w:rPr>
          <w:i/>
        </w:rPr>
        <w:t xml:space="preserve">9010 Taiga </w:t>
      </w:r>
      <w:r>
        <w:t xml:space="preserve">och </w:t>
      </w:r>
      <w:r>
        <w:rPr>
          <w:i/>
        </w:rPr>
        <w:t>9030 Landhöjningsskog</w:t>
      </w:r>
      <w:r>
        <w:t xml:space="preserve"> (SLU Artdatabanken, 2025; Nitare &amp; Skogsstyrelsen, 2019).</w:t>
      </w:r>
    </w:p>
    <w:p>
      <w:r>
        <w:rPr>
          <w:b/>
        </w:rPr>
        <w:t xml:space="preserve">Blodticka </w:t>
      </w:r>
      <w:r>
        <w:t xml:space="preserve">är i norra Sverige främst knuten till grova granlågor i urskogsartad barrskog, men förekommer ibland även på klenare granar i anslutning till bäckar och sumpskogar. Den är en bra indikator på granskogar med höga naturvärden och oftast förekommer den tillsammans med ett stort antal ovanliga och rödlistade arter. I södra Sverige växer den framför allt på tall och har då ett lägre signalvärde. Blodticka är typisk art för </w:t>
      </w:r>
      <w:r>
        <w:rPr>
          <w:i/>
        </w:rPr>
        <w:t>9030 Landhöjningsskog</w:t>
      </w:r>
      <w:r>
        <w:t xml:space="preserve"> (SLU Artdatabanken, 2025; Nitare &amp; Skogsstyrelsen, 2019).</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 xml:space="preserve">Granbarkgnagare </w:t>
      </w:r>
      <w:r>
        <w:t xml:space="preserve">är en skalbagge vars larvutveckling sker i den tjocka ytterbarken på gamla och mycket grova levande granar. Man lägger lätt märke till angreppen på träden eftersom flera grova kläckhål ligger ganska tätt intill varandra på de grövre barkåsarna. Kläckhålen är runda och ca 1,5 mm breda. Granbarkgnagare är typisk art för </w:t>
      </w:r>
      <w:r>
        <w:rPr>
          <w:i/>
        </w:rPr>
        <w:t xml:space="preserve">9010 Taiga </w:t>
      </w:r>
      <w:r>
        <w:t>(Ehnström, 2002; SLU Artdatabanken, 2025).</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 xml:space="preserve">Mörk husmossa </w:t>
      </w:r>
      <w:r>
        <w:t xml:space="preserve">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Mörk husmossa är typisk art för </w:t>
      </w:r>
      <w:r>
        <w:rPr>
          <w:i/>
        </w:rPr>
        <w:t xml:space="preserve">9010 Taiga, 9050 Näringsrik granskog, 9080 Lövsumpskog, 9750 Svämlövskog, 9020 Nordlig ädellövskog, 9160 Näringsrik ekskog </w:t>
      </w:r>
      <w:r>
        <w:t>och</w:t>
      </w:r>
      <w:r>
        <w:rPr>
          <w:i/>
        </w:rPr>
        <w:t xml:space="preserve"> 9180 Ädellövskog i branter</w:t>
      </w:r>
      <w:r>
        <w:t xml:space="preserve"> (SLU Artdatabanken, 2024; Nitare &amp; Skogsstyrelsen, 2019).</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i/>
        </w:rPr>
        <w:t>Thymalus limbatus</w:t>
      </w:r>
      <w:r>
        <w:rPr>
          <w:b/>
        </w:rPr>
        <w:t xml:space="preserve"> </w:t>
      </w:r>
      <w:r>
        <w:t>är en flatbagge vars larvutveckling sker i mycelhaltig bark och ved i grenar, stammar och lågor av olika barr- och lövträd. Främst utnyttjas tall och gran med klibbticka, björk med fnöskticka eller björkticka och bok med fnöskticka. Arten påverkas negativt av brist på kontinuitetsskog och det föreligger indikation på eller misstanke om populationsminskning (SLU Artdatabanken, 2025).</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62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69 naturvårdsarter varav 41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Ulltickeporing – ekologi samt krav på livsmiljön</w:t>
      </w:r>
    </w:p>
    <w:p>
      <w:r>
        <w:t xml:space="preserve">Ulltickeporing </w:t>
      </w:r>
      <w:r>
        <w:rPr>
          <w:i/>
        </w:rPr>
        <w:t>Skeletocutis brevispora</w:t>
      </w:r>
      <w:r>
        <w:t xml:space="preserve"> (VU),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2026).</w:t>
      </w:r>
    </w:p>
    <w:p>
      <w:r>
        <w:t xml:space="preserve">Ulltickeporingen har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(SLU Artdatabanken, 2026; Miettinen &amp; Niemelä, 2018).</w:t>
      </w:r>
    </w:p>
    <w:p>
      <w:pPr>
        <w:pStyle w:val="Heading2"/>
      </w:pPr>
      <w:r>
        <w:t>Referenser – ulltickeporing</w:t>
      </w:r>
    </w:p>
    <w:p>
      <w:r>
        <w:t xml:space="preserve">Miettinen, O. &amp; Niemelä, T., 2018. </w:t>
      </w:r>
      <w:r>
        <w:rPr>
          <w:i/>
        </w:rPr>
        <w:t>Two new temperate polypore species of Skeletocutis (Polyporales, Basidiomycota)</w:t>
      </w:r>
      <w:r>
        <w:t>. Ann. Bot. Fennici 55: 195–206.</w:t>
      </w:r>
    </w:p>
    <w:p>
      <w:r>
        <w:t xml:space="preserve">SLU Artdatabanken, 2026. </w:t>
      </w:r>
      <w:r>
        <w:rPr>
          <w:i/>
        </w:rPr>
        <w:t xml:space="preserve">Artfaktablad. Naturvård – artfakta. </w:t>
      </w:r>
      <w:r>
        <w:t>SLU Artdatabanken, Uppsala.</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2026-07-17</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