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2026-07-13 och omfattar 121,7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39 naturvårdsarter, varav 24 är rödlistade, 10 är fridlysta, 29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