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Baksjökullen i Bjurholms kommun</w:t>
      </w:r>
    </w:p>
    <w:p>
      <w:r>
        <w:t>Denna tillsynsbegäran behandlar höga naturvärden i avverkningsanmälan Baksjökullen i Bjurholms kommun som inkom 2026-07-19 och omfattar 152,1 ha.</w:t>
      </w:r>
    </w:p>
    <w:p>
      <w:pPr>
        <w:pStyle w:val="Caption"/>
      </w:pPr>
      <w:r>
        <w:drawing>
          <wp:inline xmlns:a="http://schemas.openxmlformats.org/drawingml/2006/main" xmlns:pic="http://schemas.openxmlformats.org/drawingml/2006/picture">
            <wp:extent cx="5486400" cy="4945433"/>
            <wp:docPr id="1" name="Picture 1"/>
            <wp:cNvGraphicFramePr>
              <a:graphicFrameLocks noChangeAspect="1"/>
            </wp:cNvGraphicFramePr>
            <a:graphic>
              <a:graphicData uri="http://schemas.openxmlformats.org/drawingml/2006/picture">
                <pic:pic>
                  <pic:nvPicPr>
                    <pic:cNvPr id="0" name="Baksjökullen karta.png"/>
                    <pic:cNvPicPr/>
                  </pic:nvPicPr>
                  <pic:blipFill>
                    <a:blip r:embed="rId16"/>
                    <a:stretch>
                      <a:fillRect/>
                    </a:stretch>
                  </pic:blipFill>
                  <pic:spPr>
                    <a:xfrm>
                      <a:off x="0" y="0"/>
                      <a:ext cx="5486400" cy="494543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7122362, E 656201 i SWEREF 99 TM.</w:t>
      </w:r>
    </w:p>
    <w:p>
      <w:r>
        <w:t>I och inom 24 meter från avverkningsanmälan finns fynd av 54 naturvårdsarter, varav 38 är rödlistade, 13 är fridlysta, 29 är typiska (T) och 10 är signalarter (S): urskogsporing (EN), doftticka (VU, T, §8), fläckporing (VU, T), garnlav (VU, T), gräddporing (VU, T), knärot (VU, T, §8), liten aspgelélav (VU, T), blanksvart spiklav (NT), blå taggsvamp (NT, T), blågrå svartspik (NT), drillsnäppa (NT, §4), dropptaggsvamp (NT, T), dvärgbägarlav (NT, T), grå blåbärsfältmätare (NT), kolflarnlav (NT, T), kortskaftad ärgspik (NT), kådvaxskinn (NT), lavskrika (NT, T, §4), liten svartspik (NT), luddfingersvamp (NT), lunglav (NT, T), motaggsvamp (NT, T), mörk kolflarnlav (NT), nordtagging (NT), reliktbock (NT, T), rödvingetrast (NT, §4), skrovellav (NT, T), svartvit taggsvamp (NT), talltagel (NT, T), talltaggsvamp (NT), talltita (NT, §4), tretåig hackspett (NT, T, §4), ullticka (NT, T), vaddporing (NT), vedflamlav (NT), vedskivlav (NT, T), vitgrynig nållav (NT), vitplätt (NT), björksplintborre (S), bårdlav (S, T), dvärgtufs (S), luddlav (S, T), mindre märgborre (S, T), nästlav (S, T), skinnlav (S, T), stuplav (S, T), vedticka (S, T), ögonpyrola (S, T), spillkråka (T, §4), tjäder (T, §4), kungsfågel (§4), orre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4.44 ha med buffertzonerna och får av detta skäl inte avverkas.</w:t>
      </w:r>
    </w:p>
    <w:p>
      <w:pPr>
        <w:pStyle w:val="Caption"/>
      </w:pPr>
      <w:r>
        <w:drawing>
          <wp:inline xmlns:a="http://schemas.openxmlformats.org/drawingml/2006/main" xmlns:pic="http://schemas.openxmlformats.org/drawingml/2006/picture">
            <wp:extent cx="5486400" cy="4502242"/>
            <wp:docPr id="2" name="Picture 2"/>
            <wp:cNvGraphicFramePr>
              <a:graphicFrameLocks noChangeAspect="1"/>
            </wp:cNvGraphicFramePr>
            <a:graphic>
              <a:graphicData uri="http://schemas.openxmlformats.org/drawingml/2006/picture">
                <pic:pic>
                  <pic:nvPicPr>
                    <pic:cNvPr id="0" name="Baksjökullen karta knärot.png"/>
                    <pic:cNvPicPr/>
                  </pic:nvPicPr>
                  <pic:blipFill>
                    <a:blip r:embed="rId17"/>
                    <a:stretch>
                      <a:fillRect/>
                    </a:stretch>
                  </pic:blipFill>
                  <pic:spPr>
                    <a:xfrm>
                      <a:off x="0" y="0"/>
                      <a:ext cx="5486400" cy="45022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7122362, E 656201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knärot (VU, T, §8), liten aspgelélav (VU, T), blå taggsvamp (NT, T), dropptaggsvamp (NT, T), dvärgbägarlav (NT, T), kolflarnlav (NT, T), lavskrika (NT, T, §4), lunglav (NT, T), motaggsvamp (NT, T), reliktbock (NT, T), skrovellav (NT, T), talltagel (NT, T), tretåig hackspett (NT, T, §4), ullticka (NT, T), vedskivlav (NT, T), bårdlav (S, T), luddlav (S, T), mindre märgborre (S, T), nästlav (S, T), skinnlav (S, T), stuplav (S, T), vedticka (S, T),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