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området Maskaure Maddagielas S, 27 ha i Arjeplogs kommun</w:t>
      </w:r>
    </w:p>
    <w:p>
      <w:r>
        <w:t>Detta klagomål behandlar höga naturvärden i området Maskaure Maddagielas S, 27 ha i Arjeplogs kommun som inkom 2026-07-20 och omfattar 26,3 ha.</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Maskaure Maddagielas S, 27 ha karta.png"/>
                    <pic:cNvPicPr/>
                  </pic:nvPicPr>
                  <pic:blipFill>
                    <a:blip r:embed="rId16"/>
                    <a:stretch>
                      <a:fillRect/>
                    </a:stretch>
                  </pic:blipFill>
                  <pic:spPr>
                    <a:xfrm>
                      <a:off x="0" y="0"/>
                      <a:ext cx="5486400" cy="4780067"/>
                    </a:xfrm>
                    <a:prstGeom prst="rect"/>
                  </pic:spPr>
                </pic:pic>
              </a:graphicData>
            </a:graphic>
          </wp:inline>
        </w:drawing>
      </w:r>
    </w:p>
    <w:p>
      <w:pPr>
        <w:pStyle w:val="Caption"/>
        <w:spacing w:after="240"/>
      </w:pPr>
      <w:r>
        <w:t>Figur 1. Fyndplatser för naturvårdsarter i området. Markörer utan svart kant är placerade på fyndplatsen. Markörer med svart kant är placerade vid sidan av fyndplatsen och har ett svart streck som visar fyndplatsens exakta position. Kartans mittpunktskoordinat är N 7291704, E 635416 i SWEREF 99 TM.</w:t>
      </w:r>
    </w:p>
    <w:p>
      <w:r>
        <w:t>I området finns fynd av 13 naturvårdsarter, varav 10 är rödlistade, 3 är fridlysta, 13 är typiska (T) och 2 är signalarter (S): garnlav (VU, T), gammelgransskål (NT, T), harticka (NT, T), knottrig blåslav (NT, T), lavskrika (NT, T, §4), rosenticka (NT, T), talltagel (NT, T), tallticka (NT, T), tretåig hackspett (NT, T, §4), ullticka (NT, T), plattlummer (S, T, §9), vedticka (S, T) och grå renlav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aktuella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Grå renlav</w:t>
      </w:r>
      <w:r>
        <w:t xml:space="preserve"> är typisk art för </w:t>
      </w:r>
      <w:r>
        <w:rPr>
          <w:i/>
        </w:rPr>
        <w:t xml:space="preserve">9040 Fjällbjörkskog </w:t>
      </w:r>
      <w:r>
        <w:t xml:space="preserve">och </w:t>
      </w:r>
      <w:r>
        <w:rPr>
          <w:i/>
        </w:rPr>
        <w:t xml:space="preserve">4060 Alpina rishedar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aktuella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aktuella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aktuella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