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440033"/>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440033"/>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60 naturvårdsarter, varav 34 är rödlistade, 9 är fridlysta, 44 är typiska (T) och 14 är signalarter (S): garnlav (VU, T), grantickeporing (VU), grenlav (VU), gränsticka (VU, T), kristallticka (VU), Lecidea subhumida (VU), nordlig parasitporing (VU), ostticka (VU, T), sprickporing (VU), tajgaskinn (VU), vitskaftad svartspik (VU, T), blanksvart spiklav (NT), blågrå svartspik (NT), brunklöver (NT), doftskinn (NT, T), dvärgbägarlav (NT, T), gammelgransskål (NT, T), harticka (NT, T), knottrig blåslav (NT, T), lavskrika (NT, T, §4), liten svartspik (NT), lunglav (NT, T), rosenticka (NT, T), Rostania pallida (NT), rynkskinn (NT, T), rödbrun blekspik (NT, T), skrovellav (NT, T), stjärntagging (NT, T), talltita (NT, §4), tretåig hackspett (NT, T, §4), ullticka (NT, T), vedflamlav (NT), vedskivlav (NT, T), vitgrynig nållav (NT), barkticka (S, 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