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26 naturvårdsarter, varav 17 är rödlistade, 4 är fridlysta, 20 är typiska (T) och 8 är signalarter (S): garnlav (VU, T), gränsticka (VU, T), knärot (VU, T, §8), lappticka (VU, T), blanksvart spiklav (NT), doftskinn (NT, T), gammelgransskål (NT, T), harticka (NT, T), knottrig blåslav (NT, T), rosenticka (NT, T), skrovellav (NT, T), talltita (NT, §4), tretåig hackspett (NT, T, §4), ullticka (NT, T), vedflamlav (NT), vedtrappmossa (NT, T), vitgrynig nållav (NT), bronshjon (S, T), bårdlav (S, T), källmossor (S), luddlav (S, T), spindelblomster (S, T, §8), stuplav (S, T), vedticka (S, T), vågbandad barkbock (S)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doftskinn (NT, T), gammelgransskål (NT, T), harticka (NT, T), knottrig blåslav (NT, T), rosenticka (NT, T), skrovellav (NT, T), tretåig hackspett (NT, T, §4), ullticka (NT, T), vedtrappmossa (NT, T), bronshjon (S, T), bårdlav (S, T), luddlav (S, T), spindelblomster (S, T, §8), stuplav (S, T), vedticka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