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22 naturvårdsarter, varav 19 är rödlistade, 2 är fridlysta, 13 är typiska (T) och 1 är signalart (S): garnlav (VU, T), grantickeporing (VU), gränsticka (VU, T), Lecidea subhumida (VU), blanksvart spiklav (NT), blågrå svartspik (NT), dvärgbägarlav (NT, T), gammelgransskål (NT, T), knottrig blåslav (NT, T), liten svartspik (NT), nordtagging (NT), rödbrun blekspik (NT, T), talltagel (NT, T), tretåig hackspett (NT, T, §4), ullticka (NT, T), vedflamlav (NT), vedskivlav (NT, T), vitgrynig nållav (NT), äggvaxskivling (NT), blodticka (S, T), ekbräken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ekbräken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