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394176"/>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394176"/>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48 naturvårdsarter, varav 28 är rödlistade, 7 är fridlysta, 38 är typiska (T) och 12 är signalarter (S): isabellporing (EN), bågknotterskinn (VU), garnlav (VU, T), grantickeporing (VU), gräddporing (VU, T), gränsticka (VU, T), ostticka (VU, T), tajgaskinn (VU), vitskaftad svartspik (VU, T), brunpudrad nållav (NT, T), gammelgransskål (NT, T), harticka (NT, T), knottrig blåslav (NT, T), koralltaggsvamp (NT, 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norrlandslav (S, T), skinnlav (S, T), spindelblomster (S, T, §8), stuplav (S, T), tibast (S, T), trådticka (S, T), vedticka (S, T), ögonpyrola (S, T), ekbräken (T), hultbräken (T), humleblomster (T), kransmossa (T), nordisk stormhatt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