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26 naturvårdsarter, varav 17 är rödlistade, 4 är fridlysta, 20 är typiska (T) och 8 är signalarter (S): garnlav (VU, T), gränsticka (VU, T), knärot (VU, T, §8), lappticka (VU, T), blanksvart spiklav (NT), doftskinn (NT, T), gammelgransskål (NT, T), harticka (NT, T), knottrig blåslav (NT, T), rosenticka (NT, T), skrovellav (NT, T), talltita (NT, §4), tretåig hackspett (NT, T, §4), ullticka (NT, T), vedflamlav (NT), vedtrappmossa (NT, T), vitgrynig nållav (NT), bronshjon (S, T), bårdlav (S, T), källmossor (S), luddlav (S, T), spindelblomster (S, T, §8), stuplav (S, T), vedticka (S, T), vågbandad barkbock (S)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