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området Maskaure Skornjamyran avvanm, 11,2 ha i Arjeplogs kommun</w:t>
      </w:r>
    </w:p>
    <w:p>
      <w:r>
        <w:t>Denna tillsynsbegäran behandlar höga naturvärden i området Maskaure Skornjamyran avvanm, 11,2 ha i Arjeplogs kommun som inkom 2026-07-20 och omfattar 11,2 ha.</w:t>
      </w:r>
    </w:p>
    <w:p>
      <w:pPr>
        <w:pStyle w:val="Caption"/>
      </w:pPr>
      <w:r>
        <w:drawing>
          <wp:inline xmlns:a="http://schemas.openxmlformats.org/drawingml/2006/main" xmlns:pic="http://schemas.openxmlformats.org/drawingml/2006/picture">
            <wp:extent cx="4960345" cy="5724000"/>
            <wp:docPr id="1" name="Picture 1"/>
            <wp:cNvGraphicFramePr>
              <a:graphicFrameLocks noChangeAspect="1"/>
            </wp:cNvGraphicFramePr>
            <a:graphic>
              <a:graphicData uri="http://schemas.openxmlformats.org/drawingml/2006/picture">
                <pic:pic>
                  <pic:nvPicPr>
                    <pic:cNvPr id="0" name="Maskaure Skornjamyran avvanm, 11,2 ha karta.png"/>
                    <pic:cNvPicPr/>
                  </pic:nvPicPr>
                  <pic:blipFill>
                    <a:blip r:embed="rId16"/>
                    <a:stretch>
                      <a:fillRect/>
                    </a:stretch>
                  </pic:blipFill>
                  <pic:spPr>
                    <a:xfrm>
                      <a:off x="0" y="0"/>
                      <a:ext cx="4960345" cy="5724000"/>
                    </a:xfrm>
                    <a:prstGeom prst="rect"/>
                  </pic:spPr>
                </pic:pic>
              </a:graphicData>
            </a:graphic>
          </wp:inline>
        </w:drawing>
      </w:r>
    </w:p>
    <w:p>
      <w:pPr>
        <w:pStyle w:val="Caption"/>
        <w:spacing w:after="240"/>
      </w:pPr>
      <w:r>
        <w:t>Figur 1. Fyndplatser för naturvårdsarter i och inom 7 meter från området. Markörer utan svart kant är placerade på fyndplatsen. Markörer med svart kant är placerade vid sidan av fyndplatsen och har ett svart streck som visar fyndplatsens exakta position. Kartans mittpunktskoordinat är N 7322086, E 621360 i SWEREF 99 TM.</w:t>
      </w:r>
    </w:p>
    <w:p>
      <w:r>
        <w:t>I och inom 7 meter från området finns fynd av 33 naturvårdsarter, varav 26 är rödlistade, 4 är fridlysta, 23 är typiska (T) och 6 är signalarter (S): blackticka (VU), fläckporing (VU, T), garnlav (VU, T), gränsticka (VU, T), ostticka (VU, T), sprickporing (VU), tajgaskinn (VU), ulltickeporing (VU), blanksvart spiklav (NT), blågrå svartspik (NT), dvärgbägarlav (NT, T), gammelgransskål (NT, T), grå blåbärsfältmätare (NT), harticka (NT, T), knottrig blåslav (NT, T), liten svartspik (NT), rosenticka (NT, T), rynkskinn (NT, T), talltagel (NT, T), talltita (NT, §4), tretåig hackspett (NT, T, §4), ullticka (NT, T), vedskivlav (NT, T), vedtrappmossa (NT, T), violmussling (NT, T), vitgrynig nållav (NT), gulnål (S, T), plattlummer (S, T, §9), skör kvastmossa (S, T), sotlav (S, T), vanlig flatbagge (S, T), vedticka (S, T)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området och föreningens inlaga (se 34 § förvaltningslagen).</w:t>
      </w:r>
    </w:p>
    <w:p>
      <w:pPr>
        <w:pStyle w:val="Heading1"/>
      </w:pPr>
      <w:r>
        <w:t>Naturvårdsarter och fridlysta arter</w:t>
      </w:r>
    </w:p>
    <w:p>
      <w:r>
        <w:t>Nedan följer beskrivningar av de naturvårdsarter och fridlysta arter som har sina livsmiljöer och växtplatser i den aktuella skogen. Se även ytterligare artfakta i BILAGA 1. De påträffade naturvårdsarterna är ett tydligt kvitto på att det rör sig om en skog med höga naturvärden.</w:t>
      </w:r>
    </w:p>
    <w:p>
      <w:r>
        <w:rPr>
          <w:b/>
        </w:rPr>
        <w:t>Blackticka (VU)</w:t>
      </w:r>
      <w:r>
        <w:t>, rödlistad som sårbar, är en exklusiv svamp som signalerar fuktiga granskogar med mycket höga naturvärden. Den har klassificerats som en “urskogsindikator” och påträffas nästan enbart i urskogsartade barrnaturskogar med långvarig kontinuitet av grova lågor i olika nedbrytningsstadier. Skogsskötselåtgärder på eller i omedelbar närhet av lokalerna utgör ett hot och på lång sikt innebär fragmenteringen av skogslandskapet att artens förekomster isoleras vilket i sig utgör ett hot mot artens överlevnad. Fler skogar med blackticka måste skyddas (Nitare &amp; Skogsstyrelsen, 2019; SLU Artdatabanken, 2024).</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 xml:space="preserve">Ostticka (VU) </w:t>
      </w:r>
      <w:r>
        <w:t xml:space="preserve">växer huvudsakligen på grova granlågor i urskogsartad barrskog. Växtplatserna ligger vanligtvis i brandrefugiala områden med relativt hög luftfuktighet där skogen under lång tid haft en intern beståndsdynamik med successivt avdöende träd. Alla skogsskötselåtgärder på eller i omedelbar närhet av lokalerna inverkar negativt på artens fortlevnad. Ostticka är typisk art för </w:t>
      </w:r>
      <w:r>
        <w:rPr>
          <w:i/>
        </w:rPr>
        <w:t xml:space="preserve">9010 Taiga </w:t>
      </w:r>
      <w:r>
        <w:t xml:space="preserve">och </w:t>
      </w:r>
      <w:r>
        <w:rPr>
          <w:i/>
        </w:rPr>
        <w:t>9030 Landhöjningsskog</w:t>
      </w:r>
      <w:r>
        <w:t xml:space="preserve"> (SLU Artdatabanken, 2024; Nitare &amp; Skogsstyrelsen, 2019).</w:t>
      </w:r>
    </w:p>
    <w:p>
      <w:r>
        <w:rPr>
          <w:b/>
        </w:rPr>
        <w:t>Sprickporing (VU)</w:t>
      </w:r>
      <w:r>
        <w:t>, rödlistad som sårbar, är en sällsynt art som växer på senvuxen gran i lågproduktiva miljöer, ett substrat som nybildas i mycket liten skala i modern produktionsskog. Arten bedöms ha minskat kraftigt, med mer än 30 % över de senaste 20 åren, huvudsakligen på grund av slutavverkningar. I bestånd där arten förekommer måste skogsbruk undvikas. Fler av artens lokaler bör skyddas (SLU Artdatabanken, 2024).</w:t>
      </w:r>
    </w:p>
    <w:p>
      <w:r>
        <w:rPr>
          <w:b/>
        </w:rPr>
        <w:t>Tajgaskinn (VU)</w:t>
      </w:r>
      <w:r>
        <w:t xml:space="preserve"> är placerad högst upp i Skogsstyrelsens värdepyramid för bedömning av skog med höga naturvärden och har klassificerats som en ”urskogsindikator” som kräver närmast orörda skogsmiljöer med långvarig kontinuitet av grova granlågor i olika nedbrytningsstadier (Nitare &amp; Skogsstyrelsen, 2019).</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Grå blåbärsfältmätare (NT)</w:t>
      </w:r>
      <w:r>
        <w:t xml:space="preserve"> har tidigare ansetts som en mycket vanlig art men har utifrån fältobservationer gått starkt tillbaka och är nu försvunnen från stora delar av södra och mellersta Sverige. Sannolikt minskar arten även i norr. Detta indikerar att arten är starkare knuten till kontinuitetsskog med stort innehåll av blåbär än man tidigare trott och den förefaller vara mycket känslig för kalhyggesbruk. Fjärilens huvudsakliga habitat är luckiga granskogar med ett välutvecklat blåbärskikt på vilket larven lever. Denna livsmiljö är hotad av kalhyggesbruket där blåbärsriset skuggas ut när den uppväxande skogen sluter sig. Minskningstakten för den svenska populationen bedöms vara nära gränsvärdet för Sårbar (VU) (SLU Artdatabanken, 2024).</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Violmussling (NT)</w:t>
      </w:r>
      <w:r>
        <w:t xml:space="preserve"> växer på döda, oftast omkullfallna stammar av gran eller tall. De flesta fynden har gjorts i gammal, orörd skog och arten är en mycket god indikator på förekomst av lång skoglig kontinuitet. Platser som hyser stora bestånd av violmussling bör i första hand skyddas och undantas från skogsbruk. Flera sällsynta och mycket sällsynta tickor och skalbaggar är mer eller mindre starkt associerade med violtickor </w:t>
      </w:r>
      <w:r>
        <w:rPr>
          <w:i/>
        </w:rPr>
        <w:t>Trichaptum spp.</w:t>
      </w:r>
      <w:r>
        <w:t xml:space="preserve"> och död ved som först rötats av någon </w:t>
      </w:r>
      <w:r>
        <w:rPr>
          <w:i/>
        </w:rPr>
        <w:t>Trichaptum-art</w:t>
      </w:r>
      <w:r>
        <w:t>. Bland dessa kan nämnas gul mjukporing (CR), lämmelporing (CR), kilporing (VU), parasitporing (VU), gropig brunbagge (NT), gulbandad brunbagge</w:t>
      </w:r>
      <w:r>
        <w:rPr>
          <w:i/>
        </w:rPr>
        <w:t xml:space="preserve"> </w:t>
      </w:r>
      <w:r>
        <w:t>(NT) och brunkantad brunbagge</w:t>
      </w:r>
      <w:r>
        <w:rPr>
          <w:i/>
        </w:rPr>
        <w:t xml:space="preserve"> </w:t>
      </w:r>
      <w:r>
        <w:t xml:space="preserve">(DD). Violmussling är typisk art för </w:t>
      </w:r>
      <w:r>
        <w:rPr>
          <w:i/>
        </w:rPr>
        <w:t>9010 Taiga</w:t>
      </w:r>
      <w:r>
        <w:t xml:space="preserve"> (SLU Artdatabanken, 2026;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Skör kvastmossa </w:t>
      </w:r>
      <w:r>
        <w:t xml:space="preserve">växer på murket trä och någon gång på humusrik jord eller torv. Den påträffas främst i miljöer med hög luftfuktighet, såsom sumpskogar och strandskogar. Den signalerar skog med höga naturvärden och indikerar rik förekomst av ved i olika nedbrytningsstadier på lokaler med hög och jämn luftfuktighet. Skör kvastmossa är typisk art för </w:t>
      </w:r>
      <w:r>
        <w:rPr>
          <w:i/>
        </w:rPr>
        <w:t>9010 Taiga</w:t>
      </w:r>
      <w:r>
        <w:t xml:space="preserve"> (SLU Artdatabanken, 2024; Nitare &amp; Skogsstyrelsen, 2019).</w:t>
      </w:r>
    </w:p>
    <w:p>
      <w:r>
        <w:rPr>
          <w:b/>
        </w:rPr>
        <w:t>Sotlav</w:t>
      </w:r>
      <w:r>
        <w:t xml:space="preserve"> är överallt en mycket bra signalart och visar alltid på skogsmiljöer med höga naturvärden. Den indikerar långvarig förekomst av gamla eller döda träd. På lavens växtlokaler finns vanligen många andra ovanliga arter. Sotlav är typisk art för </w:t>
      </w:r>
      <w:r>
        <w:rPr>
          <w:i/>
        </w:rPr>
        <w:t xml:space="preserve">9010 Taiga </w:t>
      </w:r>
      <w:r>
        <w:t>och</w:t>
      </w:r>
      <w:r>
        <w:rPr>
          <w:i/>
        </w:rPr>
        <w:t xml:space="preserve"> 9070 Trädklädd betesmark</w:t>
      </w:r>
      <w:r>
        <w:t xml:space="preserve"> (Nitare &amp; Skogsstyrelsen, 2019; SLU Artdatabanken, 2025).</w:t>
      </w:r>
    </w:p>
    <w:p>
      <w:r>
        <w:rPr>
          <w:b/>
        </w:rPr>
        <w:t>Vanlig flatbagge</w:t>
      </w:r>
      <w:r>
        <w:t xml:space="preserve"> är en skalbagge vars larvutveckling sker i brunrötad ved av tall och gran, i mindre omfattning lövträd som al, asp och björk. Främst i lågor med klibbticka, timmerticka eller citronticka. Vanlig flatbagge är typisk art för </w:t>
      </w:r>
      <w:r>
        <w:rPr>
          <w:i/>
        </w:rPr>
        <w:t xml:space="preserve">9060 Åsbarrskog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aktuella skogen: fläckporing (VU, T), garnlav (VU, T), gränsticka (VU, T), ostticka (VU, T), dvärgbägarlav (NT, T), gammelgransskål (NT, T), harticka (NT, T), knottrig blåslav (NT, T), rosenticka (NT, T), rynkskinn (NT, T), talltagel (NT, T), tretåig hackspett (NT, T, §4), ullticka (NT, T), vedskivlav (NT, T), vedtrappmossa (NT, T), violmussling (NT, T), gulnål (S, T), plattlummer (S, T, §9), skör kvastmossa (S, T), sotlav (S, T), vanlig flatbagge (S, T), vedticka (S, T)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2026).</w:t>
      </w:r>
    </w:p>
    <w:p>
      <w:r>
        <w:t xml:space="preserve">Ulltickeporingen har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(SLU Artdatabanken, 2026; Miettinen &amp; Niemelä, 2018).</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