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26 naturvårdsarter, varav 19 är rödlistade, 6 är fridlysta, 17 är typiska (T) och 4 är signalarter (S): garnlav (VU, T), grantickeporing (VU), nordlig parasitporing (VU), ostticka (VU, T), blanksvart spiklav (NT), dvärgbägarlav (NT, T), gammelgransskål (NT, T), knottrig blåslav (NT, T), kolflarnlav (NT, T), lavskrika (NT, T, §4), liten svartspik (NT), rynkskinn (NT, T), skogshare (NT), talltagel (NT, T), tretåig hackspett (NT, T, §4), ullticka (NT, T), vedskivlav (NT, T), vitgrynig nållav (NT), äggvaxskivling (NT), blodticka (S, T), bårdlav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ostticka (VU, T), dvärgbägarlav (NT, T), gammelgransskål (NT, T), knottrig blåslav (NT, T), kolflarnlav (NT, T), lavskrika (NT, T, §4), rynkskinn (NT, T), talltagel (NT, T), tretåig hackspett (NT, T, §4), ullticka (NT, T), vedskivlav (NT, T), blodticka (S, T), bårdlav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