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47 naturvårdsarter, varav 30 är rödlistade, 9 är fridlysta, 33 är typiska (T) och 11 är signalarter (S): doftticka (VU, T, §8), fläckporing (VU, T), garnlav (VU, T), gräddporing (VU, T), knärot (VU, T, §8), Lecidea subhumida (VU), blanksvart spiklav (NT), dropptaggsvamp (NT, T), dvärgbägarlav (NT, T), gullmurkling (NT), harticka (NT, T), knottrig blåslav (NT, T), kolflarnlav (NT, T), liten svartspik (NT), mörk kolflarnlav (NT), nordtagging (NT), rosenticka (NT, T), rutspindling (NT), skrovellav (NT, T), talltagel (NT, T), talltaggsvamp (NT), talltita (NT, §4), tretåig hackspett (NT, T, §4), ullticka (NT, T), vedflamlav (NT), vedskivlav (NT, T), vedtrappmossa (NT, T), violettgrå tagellav (NT, T), vitgrynig nållav (NT), vitplätt (NT), bårdlav (S, T), dvärgtufs (S), korallrot (S, T, §8), källpraktmossa (S, T), luddlav (S, T), norrlandslav (S, T), plattlummer (S, T, §9), skinnlav (S, T), spindelblomster (S, T, §8), stuplav (S, T), ögonpyrola (S, T), brudborste (T), grå renlav (T), nordisk stormhatt (T), tjäder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11 fyndplatser för knärot registrerade på Artportalen. Figur 2 visar gränserna för buffertzoner på 50 m, som behöver lämnas kring fyndplatserna för att knärotslokalerna inte ska försvinna vid en avverkning. Av det aktuella området överlappar 3.47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knärot (VU, T, §8), dropptaggsvamp (NT, T), dvärgbägarlav (NT, T), harticka (NT, T), knottrig blåslav (NT, T), kolflarnlav (NT, T), rosenticka (NT, T), skrovellav (NT, T), talltagel (NT, T), tretåig hackspett (NT, T, §4), ullticka (NT, T), vedskivlav (NT, T), vedtrappmossa (NT, T), violettgrå tagellav (NT, T), bårdlav (S, T), korallrot (S, T, §8), källpraktmossa (S, T), luddlav (S, T), norrlandslav (S, T), plattlummer (S, T, §9), skinnlav (S, T), spindelblomster (S, T, §8), stuplav (S, T), ögonpyrola (S, T), brudborste (T), grå renlav (T), nordisk stormhatt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