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42 naturvårdsarter, varav 25 är rödlistade, 7 är fridlysta, 33 är typiska (T) och 10 är signalarter (S): isabellporing (EN), bågknotterskinn (VU), garnlav (VU, T), grantickeporing (VU), gränsticka (VU, T), ostticka (VU, T), tajgaskinn (VU), vitskaftad svartspik (VU, T), gammelgransskål (NT, T), harticka (NT, T), knottrig blåslav (NT, T), koralltaggsvamp (NT, T), kötticka (NT), lunglav (NT, T), rosenticka (NT, T), rynkskinn (NT, T), rödbrun blekspik (NT, T), skrovellav (NT, T), talltagel (NT, T), talltita (NT, §4), tretåig hackspett (NT, T, §4), ullticka (NT, T), violettgrå tagellav (NT, T), violmussling (NT, T), vitgrynig nållav (NT), blodticka (S, T), finbräken (S, T), grönkulla (S, T, §8), korallrot (S, T, §8), skinnlav (S, T), spindelblomster (S, T, §8), stuplav (S, T), tibast (S, T), trådticka (S, T), ögonpyrola (S, T), hultbräken (T), humleblomster (T), kransmossa (T), nordisk stormhatt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