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659973"/>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659973"/>
                    </a:xfrm>
                    <a:prstGeom prst="rect"/>
                  </pic:spPr>
                </pic:pic>
              </a:graphicData>
            </a:graphic>
          </wp:inline>
        </w:drawing>
      </w:r>
    </w:p>
    <w:p>
      <w:pPr>
        <w:pStyle w:val="Caption"/>
        <w:spacing w:after="240"/>
      </w:pPr>
      <w:r>
        <w:t>Figur 1. Fyndplatser för naturvårdsarter i och inom 5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5 meter från området finns fynd av 46 naturvårdsarter, varav 25 är rödlistade, 12 är fridlysta, 37 är typiska (T) och 10 är signalarter (S): garnlav (VU, T), grantickeporing (VU), gränsticka (VU, T), knärot (VU, T, §8), lappticka (VU, T), ostticka (VU, T), vitskaftad svartspik (VU, T), blanksvart spiklav (NT), doftskinn (NT, T), gammelgransskål (NT, T), harticka (NT, T), knottrig blåslav (NT, T), lavskrika (NT, T, §4), liten svartspik (NT), lunglav (NT, T), nordlig nållav (NT), rosenticka (NT, T), rödbrun blekspik (NT, T), skrovellav (NT, T), talltagel (NT, T), talltita (NT, §4), tretåig hackspett (NT, T, §4), ullticka (NT, T), vitgrynig nållav (NT), älg (NT), blodticka (S, T), bårdlav (S, T), grönkulla (S, T, §8), luddlav (S, T), plattlummer (S, T, §9), spindelblomster (S, T, §8), stuplav (S, T), trådticka (S, T), vedticka (S, T), ögonpyrola (S, T), ekbräken (T), fjällskära (T), järpe (T, §4), kransmossa (T), kärrviol (T), linnea (T), nordisk stormhatt (T), spillkråka (T, §4),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doftskinn (NT, T), gammelgransskål (NT, T), harticka (NT, T), knottrig blåslav (NT, T), lavskrika (NT, T, §4), lunglav (NT, T), rosenticka (NT, T), rödbrun blekspik (NT, T), skrovellav (NT, T), talltagel (NT, T), tretåig hackspett (NT, T, §4), ullticka (NT, T), blodticka (S, T), bårdlav (S, T), grönkulla (S, T, §8), luddlav (S, T), plattlummer (S, T, §9), spindelblomster (S, T, §8), stuplav (S, T), trådticka (S, T), vedticka (S, T), ögonpyrola (S, T), ekbräken (T), fjällskära (T), järpe (T, §4), kransmossa (T), kärrviol (T), linnea (T), nordisk stormhatt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