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0688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06884"/>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57 naturvårdsarter, varav 33 är rödlistade, 8 är fridlysta, 42 är typiska (T) och 14 är signalarter (S): garnlav (VU, T), grantickeporing (VU), grenlav (VU), gränsticka (VU, T), kristallticka (VU), Lecidea subhumida (VU), nordlig parasitporing (VU), ostticka (VU, T), sprickporing (VU), vitskaftad svartspik (VU, 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brudborste (T), ekbräken (T), humleblomster (T), kärrfibbla (T), lundarv (T), nordisk stormhatt (T), ormbär (T),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barkticka (S, T), blodticka (S, T), bårdlav (S, T), grönkulla (S, T, §8), gulnål (S, T), korallrot (S, T, §8), källpraktmossa (S, T), luddlav (S, T), rostfläck (S, T), spindelblomster (S, T, §8), stuplav (S, T), tibast (S, T), vedticka (S, T), ögonpyrola (S, T), brudborste (T), ekbräken (T), humleblomster (T), kärrfibbla (T), lundarv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