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området Laisdalen Björkliden i Arjeplogs kommun</w:t>
      </w:r>
    </w:p>
    <w:p>
      <w:r>
        <w:t>Denna tillsynsbegäran behandlar höga naturvärden i området Laisdalen Björkliden i Arjeplogs kommun som inkom 2026-07-20 och omfattar 119,1 ha.</w:t>
      </w:r>
    </w:p>
    <w:p>
      <w:pPr>
        <w:pStyle w:val="Caption"/>
      </w:pPr>
      <w:r>
        <w:drawing>
          <wp:inline xmlns:a="http://schemas.openxmlformats.org/drawingml/2006/main" xmlns:pic="http://schemas.openxmlformats.org/drawingml/2006/picture">
            <wp:extent cx="5486400" cy="4993788"/>
            <wp:docPr id="1" name="Picture 1"/>
            <wp:cNvGraphicFramePr>
              <a:graphicFrameLocks noChangeAspect="1"/>
            </wp:cNvGraphicFramePr>
            <a:graphic>
              <a:graphicData uri="http://schemas.openxmlformats.org/drawingml/2006/picture">
                <pic:pic>
                  <pic:nvPicPr>
                    <pic:cNvPr id="0" name="Laisdalen Björkliden karta.png"/>
                    <pic:cNvPicPr/>
                  </pic:nvPicPr>
                  <pic:blipFill>
                    <a:blip r:embed="rId16"/>
                    <a:stretch>
                      <a:fillRect/>
                    </a:stretch>
                  </pic:blipFill>
                  <pic:spPr>
                    <a:xfrm>
                      <a:off x="0" y="0"/>
                      <a:ext cx="5486400" cy="4993788"/>
                    </a:xfrm>
                    <a:prstGeom prst="rect"/>
                  </pic:spPr>
                </pic:pic>
              </a:graphicData>
            </a:graphic>
          </wp:inline>
        </w:drawing>
      </w:r>
    </w:p>
    <w:p>
      <w:pPr>
        <w:pStyle w:val="Caption"/>
        <w:spacing w:after="240"/>
      </w:pPr>
      <w:r>
        <w:t>Figur 1. Fyndplatser för naturvårdsarter i och inom 7 meter från området. Markörer utan svart kant är placerade på fyndplatsen. Markörer med svart kant är placerade vid sidan av fyndplatsen och har ett svart streck som visar fyndplatsens exakta position. Kartans mittpunktskoordinat är N 7310408, E 607479 i SWEREF 99 TM.</w:t>
      </w:r>
    </w:p>
    <w:p>
      <w:r>
        <w:t>I och inom 7 meter från området finns fynd av 76 naturvårdsarter, varav 39 är rödlistade, 17 är fridlysta, 54 är typiska (T) och 15 är signalarter (S): finporing (VU), garnlav (VU, T), grantickeporing (VU), gränsticka (VU, T), knärot (VU, T, §8), kristallticka (VU), lappticka (VU, T), laxgröppa (VU), olivbrun kremla (VU), ostticka (VU, T), sprickporing (VU), tajgaskinn (VU), vitskaftad svartspik (VU, T), barrviolspindling (NT), blanksvart spiklav (NT), brunpudrad nållav (NT, T), doftskinn (NT, T), gammelgransskål (NT, T), grå blåbärsfältmätare (NT), harticka (NT, T), knottrig blåslav (NT, T), lappmes (NT, T, §4), lavskrika (NT, T, §4), liten svartspik (NT), lunglav (NT, T), nordlig nållav (NT), rosenticka (NT, T), rödbrun blekspik (NT, T), Skeletocutis exilis (NT), skrovellav (NT, T), stjärntagging (NT, T), talltagel (NT, T), tallticka (NT, T), talltita (NT, §4), tretåig hackspett (NT, T, §4), ullticka (NT, T), vedtrappmossa (NT, T), vitgrynig nållav (NT), älg (NT), blodticka (S, T), bronshjon (S, T), bårdlav (S, T), grönkulla (S, T, §8), gytterlav (S, T), luddlav (S, T), norrlandslav (S, T), plattlummer (S, T, §9), spindelblomster (S, T, §8), stuplav (S, T), tibast (S, T), trådticka (S, T), vedticka (S, T), vågbandad barkbock (S), ögonpyrola (S, T), bergsslok (T), brudborste (T), ekbräken (T), fjällskråp (T), fjällskära (T), humleblomster (T), järpe (T, §4), kattfot (T), kransmossa (T), kärrfibbla (T), kärrviol (T), linnea (T), mattlummer (T, §9), nordisk stormhatt (T), ormbär (T), spillkråka (T, §4), tjäder (T, §4), orre (§4), vanlig groda (§6), brudsporre (§8), lopplummer (aggregat) (§9)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området och föreningens inlaga (se 34 § förvaltningslagen).</w:t>
      </w:r>
    </w:p>
    <w:p>
      <w:pPr>
        <w:pStyle w:val="Heading1"/>
      </w:pPr>
      <w:r>
        <w:t>Naturvårdsarter och fridlysta arter</w:t>
      </w:r>
    </w:p>
    <w:p>
      <w:r>
        <w:t>Nedan följer beskrivningar av de naturvårdsarter och fridlysta arter som har sina livsmiljöer och växtplatser i den aktuella skogen. Se även ytterligare artfakta i BILAGA 1. De påträffade naturvårdsarterna är ett tydligt kvitto på att det rör sig om en skog med höga naturvärden.</w:t>
      </w:r>
    </w:p>
    <w:p>
      <w:r>
        <w:rPr>
          <w:b/>
        </w:rPr>
        <w:t>Finporing (VU)</w:t>
      </w:r>
      <w:r>
        <w:t xml:space="preserve"> är en iögonfallande art knuten till fuktiga naturskogsartade miljöer med grova träd och mycket död ved i olika nedbrytningsstadier. Den växer på lågor av både löv- och barrträd, t.ex. gråal, björk och gran. Fruktkropparna utvecklas ofta på undersidan av djupt nedsjunkna lågor som fortfarande har barken kvar. Artens ekologi behöver klarläggas bättre. I väntan på detta måste kända växtplatser säkerställas (SLU Artdatabanken, 2024).</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Grantickeporing (VU)</w:t>
      </w:r>
      <w:r>
        <w:t xml:space="preserve"> växer på murken ved och döda fruktkroppar av granticka och gränsticka (VU). Den förekommer i naturskogsliknade granskogar, gärna i fuktiga miljöer vid källbäckar och liknande. Avverkning av naturskogslika miljöer och av grova granar där grantickeporing förekommer är ett direkt hot mot artens fortlevnad. Gamla granskogar som hyser arten undantas helt från skogsbruk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aktuella området finns 1 fyndplatser för knärot registrerade på Artportalen. Figur 2 visar gränserna för buffertzoner på 50 m, som behöver lämnas kring fyndplatserna för att knärotslokalerna inte ska försvinna vid en avverkning. Av det aktuella området överlappar 0.79 ha med buffertzonerna och får av detta skäl inte avverkas.</w:t>
      </w:r>
    </w:p>
    <w:p>
      <w:pPr>
        <w:pStyle w:val="Caption"/>
      </w:pPr>
      <w:r>
        <w:drawing>
          <wp:inline xmlns:a="http://schemas.openxmlformats.org/drawingml/2006/main" xmlns:pic="http://schemas.openxmlformats.org/drawingml/2006/picture">
            <wp:extent cx="5486400" cy="5795072"/>
            <wp:docPr id="2" name="Picture 2"/>
            <wp:cNvGraphicFramePr>
              <a:graphicFrameLocks noChangeAspect="1"/>
            </wp:cNvGraphicFramePr>
            <a:graphic>
              <a:graphicData uri="http://schemas.openxmlformats.org/drawingml/2006/picture">
                <pic:pic>
                  <pic:nvPicPr>
                    <pic:cNvPr id="0" name="Laisdalen Björkliden karta knärot.png"/>
                    <pic:cNvPicPr/>
                  </pic:nvPicPr>
                  <pic:blipFill>
                    <a:blip r:embed="rId17"/>
                    <a:stretch>
                      <a:fillRect/>
                    </a:stretch>
                  </pic:blipFill>
                  <pic:spPr>
                    <a:xfrm>
                      <a:off x="0" y="0"/>
                      <a:ext cx="5486400" cy="5795072"/>
                    </a:xfrm>
                    <a:prstGeom prst="rect"/>
                  </pic:spPr>
                </pic:pic>
              </a:graphicData>
            </a:graphic>
          </wp:inline>
        </w:drawing>
      </w:r>
    </w:p>
    <w:p>
      <w:pPr>
        <w:pStyle w:val="Caption"/>
        <w:spacing w:after="240"/>
      </w:pPr>
      <w:r>
        <w:t>Figur 2. Fyndplatser och buffertzoner för knärot i det aktuella området. Endast fyndplatser vars buffertzoner överlappar med det aktuella området har tagits med i visualiseringen. Kartans mittpunktskoordinat är N 7310408, E 607479 i SWEREF 99 TM.</w:t>
      </w:r>
    </w:p>
    <w:p>
      <w:r>
        <w:rPr>
          <w:b/>
        </w:rPr>
        <w:t>Kristallticka (VU)</w:t>
      </w:r>
      <w:r>
        <w:t xml:space="preserve"> är en mycket krävande art som växer i urskogsartade barrnaturskogar där det finns rikligt med grov död ved i olika nedbrytningsstadier. Den är placerad högst upp i Skogsstyrelsens värdepyramid för bedömning av skog med höga naturvärden och är en av våra främsta naturvärdesindikatorer på skyddsvärda barrnaturskogar. Alla skogsskötselåtgärder på eller i omedelbar närhet av lokalerna påverkar arten negativt liksom den minskande andelen död ved i kulturskogarna (SLU Artdatabanken, 2024; Nitare &amp; Skogsstyrelsen, 2019).</w:t>
      </w:r>
    </w:p>
    <w:p>
      <w:r>
        <w:rPr>
          <w:b/>
        </w:rPr>
        <w:t>Lappticka (VU)</w:t>
      </w:r>
      <w:r>
        <w:t xml:space="preserve">, rödlistad som sårbar, är knuten till gamla granskogar med riklig förekomst av död ved. Den klassas som en “urskogsindikator” och alla skogsskötselåtgärder på eller i omedelbar närhet av lokalerna utgör ett hot. Lappticka är typisk art för </w:t>
      </w:r>
      <w:r>
        <w:rPr>
          <w:i/>
        </w:rPr>
        <w:t>9010 Taiga</w:t>
      </w:r>
      <w:r>
        <w:t xml:space="preserve"> (Nitare &amp; Skogsstyrelsen, 2019; SLU Artdatabanken, 2024).</w:t>
      </w:r>
    </w:p>
    <w:p>
      <w:r>
        <w:rPr>
          <w:b/>
        </w:rPr>
        <w:t>Laxgröppa (VU)</w:t>
      </w:r>
      <w:r>
        <w:t xml:space="preserve"> är en riktig urskogssvamp som påträffas på grova, starkt murkna, ofta brandskadade liggande stammar av tall, sällan gran i gammal barrskog. Arten missgynnas av skogsbruk och merparten av lokalerna bör skyddas (SLU Artdatabanken, 2024).</w:t>
      </w:r>
    </w:p>
    <w:p>
      <w:r>
        <w:rPr>
          <w:b/>
        </w:rPr>
        <w:t>Olivbrun kremla (VU)</w:t>
      </w:r>
      <w:r>
        <w:t xml:space="preserve"> bildar mykorrhiza med gran i ängsgranskog på kalkrik mark. Arten är knuten till de verkligt exklusiva, örtrika granskogarna i landet. Svampen förekommer gärna i samma områden som t.ex. norna (VU, §7) och guckusko (§7). Arten hotas främst av avverkning och andra skogsbruksåtgärder eller annan form av exploatering. Den tål inte en slutavverkning eller hård gallring. Lokaler där arten finns bör skyddas och undantas från rationellt skogsbruk. Marken på växtplatserna får inte utsättas för kraftiga störningar av typen dikning eller körning med tunga maskiner (SLU Artdatabanken, 2026).</w:t>
      </w:r>
    </w:p>
    <w:p>
      <w:r>
        <w:rPr>
          <w:b/>
        </w:rPr>
        <w:t xml:space="preserve">Ostticka (VU) </w:t>
      </w:r>
      <w:r>
        <w:t xml:space="preserve">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Ostticka är typisk art för </w:t>
      </w:r>
      <w:r>
        <w:rPr>
          <w:i/>
        </w:rPr>
        <w:t xml:space="preserve">9010 Taiga </w:t>
      </w:r>
      <w:r>
        <w:t xml:space="preserve">och </w:t>
      </w:r>
      <w:r>
        <w:rPr>
          <w:i/>
        </w:rPr>
        <w:t>9030 Landhöjningsskog</w:t>
      </w:r>
      <w:r>
        <w:t xml:space="preserve"> (SLU Artdatabanken, 2024; Nitare &amp; Skogsstyrelsen, 2019).</w:t>
      </w:r>
    </w:p>
    <w:p>
      <w:r>
        <w:rPr>
          <w:b/>
        </w:rPr>
        <w:t>Sprickporing (VU)</w:t>
      </w:r>
      <w:r>
        <w:t>, rödlistad som sårbar, är en sällsynt art som växer på senvuxen gran i lågproduktiva miljöer, ett substrat som nybildas i mycket liten skala i modern produktionsskog. Arten bedöms ha minskat kraftigt, med mer än 30 % över de senaste 20 åren, huvudsakligen på grund av slutavverkningar. I bestånd där arten förekommer måste skogsbruk undvikas. Fler av artens lokaler bör skyddas (SLU Artdatabanken, 2024).</w:t>
      </w:r>
    </w:p>
    <w:p>
      <w:r>
        <w:rPr>
          <w:b/>
        </w:rPr>
        <w:t>Tajgaskinn (VU)</w:t>
      </w:r>
      <w:r>
        <w:t xml:space="preserve"> är placerad högst upp i Skogsstyrelsens värdepyramid för bedömning av skog med höga naturvärden och har klassificerats som en ”urskogsindikator” som kräver närmast orörda skogsmiljöer med långvarig kontinuitet av grova granlågor i olika nedbrytningsstadier (Nitare &amp; Skogsstyrelsen, 2019).</w:t>
      </w:r>
    </w:p>
    <w:p>
      <w:r>
        <w:rPr>
          <w:b/>
        </w:rPr>
        <w:t>Vitskaftad svartspik (VU)</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Vitskaftad svartspik är typisk art för </w:t>
      </w:r>
      <w:r>
        <w:rPr>
          <w:i/>
        </w:rPr>
        <w:t>9010 Taiga</w:t>
      </w:r>
      <w:r>
        <w:t xml:space="preserve"> (SLU Artdatabanken, 2026; Nitare &amp; Skogsstyrelsen, 2019).</w:t>
      </w:r>
    </w:p>
    <w:p>
      <w:r>
        <w:rPr>
          <w:b/>
        </w:rPr>
        <w:t>Barrviolspindling (NT)</w:t>
      </w:r>
      <w:r>
        <w:t xml:space="preserve"> bildar mykorrhiza med gran, huvudsakligen i örtrika kalkpåverkade äldre granskogar. Arten är sannolikt uttorkningskänslig och knuten till granskogar med långvarig grankontinuitet. Den hotas främst av skogsavverkning och tycks försvinna efter slutavverkning, markberedning och plantering. Minskningstakten uppgår till 15 % inom 50 år och bedöms vara nära gränsvärdet för Sårbar (VU). (A2c+3c+4c) (SLU Artdatabanken, 2024; Nitare &amp; Skogsstyrelsen, 2019).</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Grå blåbärsfältmätare (NT)</w:t>
      </w:r>
      <w:r>
        <w:t xml:space="preserve"> har tidigare ansetts som en mycket vanlig art men har utifrån fältobservationer gått starkt tillbaka och är nu försvunnen från stora delar av södra och mellersta Sverige. Sannolikt minskar arten även i norr. Detta indikerar att arten är starkare knuten till kontinuitetsskog med stort innehåll av blåbär än man tidigare trott och den förefaller vara mycket känslig för kalhyggesbruk. Fjärilens huvudsakliga habitat är luckiga granskogar med ett välutvecklat blåbärskikt på vilket larven lever. Denna livsmiljö är hotad av kalhyggesbruket där blåbärsriset skuggas ut när den uppväxande skogen sluter sig. Minskningstakten för den svenska populationen bedöms vara nära gränsvärdet för Sårbar (VU) (SLU Artdatabanken, 2024).</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Lappmes (NT, §4)</w:t>
      </w:r>
      <w:r>
        <w:t xml:space="preserve">, som är typisk art för </w:t>
      </w:r>
      <w:r>
        <w:rPr>
          <w:i/>
        </w:rPr>
        <w:t>9010 Taiga</w:t>
      </w:r>
      <w:r>
        <w:t>, rödlistad som nära hotad och prioriterad art i Skogsvårdslagen, har minskat med 17,5 (5–30) % under de senaste 10 åren. Lappmesen är en mycket stationär art som häckar i norra Sveriges barr- och blandskogar samt i fjällbjörkskogen. Arten missgynnas starkt av skogsbruk och studier har visat att överlevnaden och vikten hos flygga ungfåglar är högre i naturskog än i gallrad skog. Hemområdesstorleken under häckningstid anges uppgå till 15–20 ha, men kan i marginella habitat vara mycket större, 50–100 ha. Minsta areal äldre skog med observationer under häckningstid i norra Finland var 15 ha. Minskningstakten för den svenska populationen bedöms vara nära gränsvärdet för Sårbar (VU). (A2bc) (SLU Artdatabanken, 2024; Skogsstyrelsen, 2016).</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Nordlig nållav (NT)</w:t>
      </w:r>
      <w:r>
        <w:t xml:space="preserve"> signalerar alltid miljöer med höga naturvärden. På lokalerna förekommer nästan alltid andra rödlistade eller ovanliga arter knutna till gamla skogar. Alla skogsskötselåtgärder på eller i omedelbar närhet av lokalerna utgör ett hot. Några av lavens rikaste förekomster bör skyddas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r>
        <w:rPr>
          <w:b/>
          <w:i/>
        </w:rPr>
        <w:t xml:space="preserve">Skeletocutis exilis </w:t>
      </w:r>
      <w:r>
        <w:rPr>
          <w:b/>
        </w:rPr>
        <w:t>(NT)</w:t>
      </w:r>
      <w:r>
        <w:t xml:space="preserve"> är en tunn liten resupinat ticka som främst är knuten till granved i äldre barrskog. Den växer ofta i anslutning till fruktkroppar av ullticka (NT), men verkar inte vara lika strikt knuten till denna jämfört med de andra ulltickeporingarna </w:t>
      </w:r>
      <w:r>
        <w:rPr>
          <w:i/>
        </w:rPr>
        <w:t>S. brevispora</w:t>
      </w:r>
      <w:r>
        <w:t xml:space="preserve"> (VU) och </w:t>
      </w:r>
      <w:r>
        <w:rPr>
          <w:i/>
        </w:rPr>
        <w:t>S. delicata</w:t>
      </w:r>
      <w:r>
        <w:t xml:space="preserve"> (VU). Brist på kontinuitetsskog och död ved påverkar arten negativt (SLU Artdatabanken, 2026).</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Talltagel (NT)</w:t>
      </w:r>
      <w:r>
        <w:t xml:space="preserve"> är en boreal art som förekommer på tall i äldre, öppna tallskogar. Den påverkas negativt av brist på kontinuitetsskog och minskningstakten bedöms vara nära gränsvärdet för Sårbar (VU). Talltagel är typisk art för </w:t>
      </w:r>
      <w:r>
        <w:rPr>
          <w:i/>
        </w:rPr>
        <w:t>9010 Taiga</w:t>
      </w:r>
      <w:r>
        <w:t xml:space="preserve"> (SLU Artdatabanken, 2026).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Blodticka </w:t>
      </w:r>
      <w:r>
        <w:t xml:space="preserve">är i norra Sverige främst knuten till grova granlågor i urskogsartad barrskog, men förekommer ibland även på klenare granar i anslutning till bäckar och sumpskogar. Den är en bra indikator på granskogar med höga naturvärden och oftast förekommer den tillsammans med ett stort antal ovanliga och rödlistade arter. I södra Sverige växer den framför allt på tall och har då ett lägre signalvärde. Blodticka är typisk art för </w:t>
      </w:r>
      <w:r>
        <w:rPr>
          <w:i/>
        </w:rPr>
        <w:t>9030 Landhöjningsskog</w:t>
      </w:r>
      <w:r>
        <w:t xml:space="preserve"> (SLU Artdatabanken, 2025;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 xml:space="preserve">Grönkulla (§8) </w:t>
      </w:r>
      <w:r>
        <w:t xml:space="preserve">är typisk art för </w:t>
      </w:r>
      <w:r>
        <w:rPr>
          <w:i/>
        </w:rPr>
        <w:t xml:space="preserve">9040 Fjällbjörkskog, 9070 Trädklädd betesmark, 6170 Alpina kalkgräsmarker, 6520 Höglänta slåtterängar </w:t>
      </w:r>
      <w:r>
        <w:t>och</w:t>
      </w:r>
      <w:r>
        <w:rPr>
          <w:i/>
        </w:rPr>
        <w:t xml:space="preserve"> 6210 Kalkgräsmarker </w:t>
      </w:r>
      <w:r>
        <w:t>(SLU Artdatabanken, 2025).</w:t>
      </w:r>
    </w:p>
    <w:p>
      <w:r>
        <w:rPr>
          <w:b/>
        </w:rPr>
        <w:t xml:space="preserve">Gytterlav </w:t>
      </w:r>
      <w:r>
        <w:t xml:space="preserve">signalerar höga naturvärden i södra och mellersta Sverige, samt längs Norrlands kustland. Förekomster i söder, framför allt på trädstammar, är en indikation på gammal skogsmark med långvarig förekomst av äldre lövträd i miljöer med hög och jämn luftfuktighet. Gytterlav är typisk art för </w:t>
      </w:r>
      <w:r>
        <w:rPr>
          <w:i/>
        </w:rPr>
        <w:t xml:space="preserve">9040 Fjällbjörkskog </w:t>
      </w:r>
      <w:r>
        <w:t>(Nitare &amp; Skogsstyrelsen, 2019; SLU Artdatabanken, 2025).</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r>
        <w:rPr>
          <w:b/>
        </w:rPr>
        <w:t xml:space="preserve">Bergsslok </w:t>
      </w:r>
      <w:r>
        <w:t xml:space="preserve">är typisk art för </w:t>
      </w:r>
      <w:r>
        <w:rPr>
          <w:i/>
        </w:rPr>
        <w:t>9190 Näringsfattig ekskog</w:t>
      </w:r>
      <w:r>
        <w:t xml:space="preserve"> (SLU Artdatabanken, 2025).</w:t>
      </w:r>
    </w:p>
    <w:p>
      <w:r>
        <w:rPr>
          <w:b/>
        </w:rPr>
        <w:t>Brudborste</w:t>
      </w:r>
      <w:r>
        <w:t xml:space="preserve"> är typisk art för </w:t>
      </w:r>
      <w:r>
        <w:rPr>
          <w:i/>
        </w:rPr>
        <w:t xml:space="preserve">9050 Näringsrik granskog, 9040 Fjällbjörkskog, 6530 Lövängar, 6430 Högörtängar </w:t>
      </w:r>
      <w:r>
        <w:t xml:space="preserve">och </w:t>
      </w:r>
      <w:r>
        <w:rPr>
          <w:i/>
        </w:rPr>
        <w:t>6510 Slåtterängar i låglandet</w:t>
      </w:r>
      <w:r>
        <w:t xml:space="preserve"> (SLU Artdatabanken, 2025).</w:t>
      </w:r>
    </w:p>
    <w:p>
      <w:r>
        <w:rPr>
          <w:b/>
        </w:rPr>
        <w:t xml:space="preserve">Ekbräken </w:t>
      </w:r>
      <w:r>
        <w:t xml:space="preserve">är typisk art för </w:t>
      </w:r>
      <w:r>
        <w:rPr>
          <w:i/>
        </w:rPr>
        <w:t>9050 Näringsrik granskog</w:t>
      </w:r>
      <w:r>
        <w:t xml:space="preserve"> (SLU Artdatabanken, 2025).</w:t>
      </w:r>
    </w:p>
    <w:p>
      <w:r>
        <w:rPr>
          <w:b/>
        </w:rPr>
        <w:t>Fjällskråp</w:t>
      </w:r>
      <w:r>
        <w:t xml:space="preserve"> är typisk art för 9050 Näringsrik granskog. Fjällskråp är värdväxt för den sällsynta fjärilen fjällskråpsmal (DD). Fjärilens larver gör fläckminor på fjällskråpblad och arten är därför relativt lätt att påvisa där den finns SLU Artdatabanken, 2025).</w:t>
      </w:r>
    </w:p>
    <w:p>
      <w:r>
        <w:rPr>
          <w:b/>
        </w:rPr>
        <w:t xml:space="preserve">Fjällskära </w:t>
      </w:r>
      <w:r>
        <w:t xml:space="preserve">är typisk art för </w:t>
      </w:r>
      <w:r>
        <w:rPr>
          <w:i/>
        </w:rPr>
        <w:t xml:space="preserve">9040 Fjällbjörkskog, 6530 Lövängar, 6510 Slåtterängar i låglandet </w:t>
      </w:r>
      <w:r>
        <w:t xml:space="preserve">och </w:t>
      </w:r>
      <w:r>
        <w:rPr>
          <w:i/>
        </w:rPr>
        <w:t>7310 Aapamyrar</w:t>
      </w:r>
      <w:r>
        <w:t>. Fjällskära är värdväxt för bl.a. de rödlistade fjärilarna fjällskärefrövecklare (VU) och fjällskäreplattmal (VU)</w:t>
      </w:r>
      <w:r>
        <w:rPr>
          <w:i/>
        </w:rPr>
        <w:t xml:space="preserve"> </w:t>
      </w:r>
      <w:r>
        <w:t>(SLU Artdatabanken, 2026).</w:t>
      </w:r>
    </w:p>
    <w:p>
      <w:r>
        <w:rPr>
          <w:b/>
        </w:rPr>
        <w:t>Humleblomster</w:t>
      </w:r>
      <w:r>
        <w:t xml:space="preserve"> är typisk art för </w:t>
      </w:r>
      <w:r>
        <w:rPr>
          <w:i/>
        </w:rPr>
        <w:t xml:space="preserve">9040 Fjällbjörkskog </w:t>
      </w:r>
      <w:r>
        <w:t>(SLU Artdatabanken, 2025).</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 xml:space="preserve">Kattfot </w:t>
      </w:r>
      <w:r>
        <w:t xml:space="preserve">är typisk art för </w:t>
      </w:r>
      <w:r>
        <w:rPr>
          <w:i/>
        </w:rPr>
        <w:t>9060 Åsbarrskog, 9070 Trädklädd betesmark, 6530 Lövängar, 6170 Alpina kalkgräsmarker, 6230 Stagg-gräsmarker, 6520 Höglänta slåtterängar, 1610 Åsöar i Östersjön, 4030 Torra hedar, 5130 Enbuskmarker, 6270 Silikatgräsmarker, 6510 Slåtterängar i låglandet</w:t>
      </w:r>
      <w:r>
        <w:t xml:space="preserve"> och </w:t>
      </w:r>
      <w:r>
        <w:rPr>
          <w:i/>
        </w:rPr>
        <w:t>8230 Hällmarkstorräng</w:t>
      </w:r>
      <w:r>
        <w:t>. Kattfot är värdväxt för bland annat de rödlistade fjärilarna kattfotsfjädermott (VU), kattfotssmåstävmal (VU), kattfotssäckmal (VU) och leverplattmal (VU) (SLU Artdatabanken, 2026).</w:t>
      </w:r>
    </w:p>
    <w:p>
      <w:r>
        <w:rPr>
          <w:b/>
        </w:rPr>
        <w:t>Kransmossa</w:t>
      </w:r>
      <w:r>
        <w:t xml:space="preserve"> är typisk art för </w:t>
      </w:r>
      <w:r>
        <w:rPr>
          <w:i/>
        </w:rPr>
        <w:t xml:space="preserve">9050 Näringsrik granskog </w:t>
      </w:r>
      <w:r>
        <w:t xml:space="preserve">och </w:t>
      </w:r>
      <w:r>
        <w:rPr>
          <w:i/>
        </w:rPr>
        <w:t xml:space="preserve">6170 Alpina kalkgräsmarker </w:t>
      </w:r>
      <w:r>
        <w:t>(SLU Artdatabanken, 2025).</w:t>
      </w:r>
    </w:p>
    <w:p>
      <w:r>
        <w:rPr>
          <w:b/>
        </w:rPr>
        <w:t>Kärrfibbla</w:t>
      </w:r>
      <w:r>
        <w:t xml:space="preserve"> är typisk art för </w:t>
      </w:r>
      <w:r>
        <w:rPr>
          <w:i/>
        </w:rPr>
        <w:t xml:space="preserve">9050 Näringsrik granskog, 9080 Lövsumpskog </w:t>
      </w:r>
      <w:r>
        <w:t>och</w:t>
      </w:r>
      <w:r>
        <w:rPr>
          <w:i/>
        </w:rPr>
        <w:t xml:space="preserve"> 9040 Fjällbjörkskog </w:t>
      </w:r>
      <w:r>
        <w:t>(SLU Artdatabanken, 2025).</w:t>
      </w:r>
    </w:p>
    <w:p>
      <w:r>
        <w:rPr>
          <w:b/>
        </w:rPr>
        <w:t xml:space="preserve">Kärrviol </w:t>
      </w:r>
      <w:r>
        <w:t xml:space="preserve">är typisk art för </w:t>
      </w:r>
      <w:r>
        <w:rPr>
          <w:i/>
        </w:rPr>
        <w:t xml:space="preserve">9740 Skogsbevuxen myr </w:t>
      </w:r>
      <w:r>
        <w:t>och</w:t>
      </w:r>
      <w:r>
        <w:rPr>
          <w:i/>
        </w:rPr>
        <w:t xml:space="preserve"> 6450 Svämängar </w:t>
      </w:r>
      <w:r>
        <w:t>(SLU Artdatabanken, 2025).</w:t>
      </w:r>
    </w:p>
    <w:p>
      <w:r>
        <w:rPr>
          <w:b/>
        </w:rPr>
        <w:t xml:space="preserve">Linnea </w:t>
      </w:r>
      <w:r>
        <w:t xml:space="preserve">är typisk art för </w:t>
      </w:r>
      <w:r>
        <w:rPr>
          <w:i/>
        </w:rPr>
        <w:t>9010 Taiga</w:t>
      </w:r>
      <w:r>
        <w:t>. På linnea kan man hitta sporsäcksvampen linnealudd (SLU Artdatabanken, 2025).</w:t>
      </w:r>
    </w:p>
    <w:p>
      <w:r>
        <w:rPr>
          <w:b/>
        </w:rPr>
        <w:t>Mattlummer (§9)</w:t>
      </w:r>
      <w:r>
        <w:t xml:space="preserve"> är typisk art för </w:t>
      </w:r>
      <w:r>
        <w:rPr>
          <w:i/>
        </w:rPr>
        <w:t xml:space="preserve">9010 Taiga </w:t>
      </w:r>
      <w:r>
        <w:t>(SLU Artdatabanken, 2025).</w:t>
      </w:r>
    </w:p>
    <w:p>
      <w:r>
        <w:rPr>
          <w:b/>
        </w:rPr>
        <w:t>Nordisk stormhatt</w:t>
      </w:r>
      <w:r>
        <w:t xml:space="preserve"> är typisk art för </w:t>
      </w:r>
      <w:r>
        <w:rPr>
          <w:i/>
        </w:rPr>
        <w:t xml:space="preserve">9050 Näringsrik granskog, 9040 Fjällbjörkskog </w:t>
      </w:r>
      <w:r>
        <w:t xml:space="preserve">och </w:t>
      </w:r>
      <w:r>
        <w:rPr>
          <w:i/>
        </w:rPr>
        <w:t>6430 Högörtängar</w:t>
      </w:r>
      <w:r>
        <w:t>. Stormhattsrotvecklare (NT) samt stormhattshumla, som är rödlistad som nära hotad (NT) på den europeiska rödlistan, är knuten till nordisk stormhatt</w:t>
      </w:r>
      <w:r>
        <w:rPr>
          <w:i/>
        </w:rPr>
        <w:t xml:space="preserve"> </w:t>
      </w:r>
      <w:r>
        <w:t>(SLU Artdatabanken, 2026; IUCN, 2025).</w:t>
      </w:r>
    </w:p>
    <w:p>
      <w:r>
        <w:rPr>
          <w:b/>
        </w:rPr>
        <w:t>Ormbär</w:t>
      </w:r>
      <w:r>
        <w:t xml:space="preserve"> är typisk art för </w:t>
      </w:r>
      <w:r>
        <w:rPr>
          <w:i/>
        </w:rPr>
        <w:t xml:space="preserve">9050 Näringsrik granskog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aktuella skogen: garnlav (VU, T), gränsticka (VU, T), knärot (VU, T, §8), lappticka (VU, T), ostticka (VU, T), vitskaftad svartspik (VU, T), brunpudrad nållav (NT, T), doftskinn (NT, T), gammelgransskål (NT, T), harticka (NT, T), knottrig blåslav (NT, T), lappmes (NT, T, §4), lavskrika (NT, T, §4), lunglav (NT, T), rosenticka (NT, T), rödbrun blekspik (NT, T), skrovellav (NT, T), stjärntagging (NT, T), talltagel (NT, T), tallticka (NT, T), tretåig hackspett (NT, T, §4), ullticka (NT, T), vedtrappmossa (NT, T), blodticka (S, T), bronshjon (S, T), bårdlav (S, T), grönkulla (S, T, §8), gytterlav (S, T), luddlav (S, T), norrlandslav (S, T), plattlummer (S, T, §9), spindelblomster (S, T, §8), stuplav (S, T), tibast (S, T), trådticka (S, T), vedticka (S, T), ögonpyrola (S, T), bergsslok (T), brudborste (T), ekbräken (T), fjällskråp (T), fjällskära (T), humleblomster (T), järpe (T, §4), kattfot (T), kransmossa (T), kärrfibbla (T), kärrviol (T), linnea (T), mattlummer (T, §9), nordisk stormhatt (T), ormbär (T), spillkråka (T, §4)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Lappmes – ekologi samt krav på livsmiljön</w:t>
      </w:r>
    </w:p>
    <w:p>
      <w:r>
        <w:t>Lappmes (NT, §4) är en mycket stationär art som häckar i norra Sveriges barr- och blandskogar samt i fjällbjörkskogen. Utbredningen i såväl Finland, Norge och Sverige har krympt och hos oss är den nu vanligast i fjällnära områden där det finns större arealer av naturskog kvar (Skogsstyrelsen, 2016). Minskningstakten har uppgått till 17,5 (5–30) % under de senaste 10 åren. Bedömningen baseras på ett för arten lämpligt abundansindex och minskad geografisk utbredning och/eller försämrad habitatkvalitet. Baserat på de troligaste värdena hamnar arten i kategorin Nära hotad (NT). Minskningstakten för den svenska populationen bedöms vara nära gränsvärdet för Sårbar (VU). (A2bc) (SLU Artdatabanken, 2024).</w:t>
      </w:r>
    </w:p>
    <w:p>
      <w:r>
        <w:t>Tyngdpunkten i förekomsten är knuten till områden med sammanhängande äldre barrskog men lappmesen häckar även i fjällbjörkszonen (dock i mycket lägre tätheter). Lappmesen häckar i naturliga hål och hackspetthål i stående träd och högstubbar. Håligheter används även som sovplatser under vintern. Lappmesen är till största delen en stannfågel – i synnerhet gamla fåglar förefaller vara extremt hemortstrogna. Ungfåglar kan dock vissa år vandra ut i stor omfattning (SLU Artdatabanken, 2024).</w:t>
      </w:r>
    </w:p>
    <w:p>
      <w:r>
        <w:t>Studier i Finland och Norge tyder på att lappmesen missgynnas starkt av skogsbruk. Högre överlevnad och högre vikter hos flygga ungfåglar rapporteras från naturskog än i gallrad skog. Från norra Finland rapporteras födobrist vara en viktigare faktor än predation för överlevnaden i bostadiet. Hemområdesstorleken under häckningstid anges uppgå till 15–20 ha, men kan i marginella habitat vara mycket större, 50–100 ha. Minsta areal äldre skog med observationer under häckningstid i norra Finland var 15 ha (SLU Artdatabanken, 2024).</w:t>
      </w:r>
    </w:p>
    <w:p>
      <w:r>
        <w:t xml:space="preserve">Lappmesen missgynnas när skogen blir alltför fragmenterad, och understiger arealen sammanhängande lämplig miljö 15 hektar så överges reviret. Brist på naturliga hål och hackspetthål samt brist på döda murkna löv- och barrträd där lappmesen själv kan mejsla ut bohål är starkt negativ. Lappmes är typisk art för </w:t>
      </w:r>
      <w:r>
        <w:rPr>
          <w:i/>
        </w:rPr>
        <w:t>9010 Taiga</w:t>
      </w:r>
      <w:r>
        <w:t xml:space="preserve"> och fridlyst enligt 4§ artskyddsförordningen (Skogsstyrelsen, 2016; SLU Artdatabanken, 2024).</w:t>
      </w:r>
    </w:p>
    <w:p>
      <w:pPr>
        <w:pStyle w:val="Heading2"/>
      </w:pPr>
      <w:r>
        <w:t>Referenser – lappmes</w:t>
      </w:r>
    </w:p>
    <w:p>
      <w:r>
        <w:t xml:space="preserve">Skogsstyrelsen, 2016. </w:t>
      </w:r>
      <w:r>
        <w:rPr>
          <w:i/>
        </w:rPr>
        <w:t xml:space="preserve">Vägledning för hänsyn till lappmes. </w:t>
      </w:r>
      <w:r>
        <w:t>Vägledningar och kunskapsstöd artskydd - Skogsstyrelsen</w:t>
      </w:r>
    </w:p>
    <w:p>
      <w:r>
        <w:t xml:space="preserve">SLU Artdatabanken, 2024. </w:t>
      </w:r>
      <w:r>
        <w:rPr>
          <w:i/>
        </w:rPr>
        <w:t xml:space="preserve">Artfakta: lappmes (Poecile cinctus). </w:t>
      </w:r>
      <w:r>
        <w:t>https://artfakta.se/taxa/103022</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