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9174"/>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91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61 naturvårdsarter, varav 38 är rödlistade, 12 är fridlysta, 42 är typiska (T) och 11 är signalarter (S): doftticka (VU, T, §8), fläckporing (VU, T), garnlav (VU, T), gräddporing (VU, T), knärot (VU, T, §8), Lecidea subhumida (VU), smalfotad taggsvamp (VU), blanksvart spiklav (NT), blå taggsvamp (NT, T), blågrå svartspik (NT), brunpudrad nållav (NT, T), dropptaggsvamp (NT, T), dvärgbägarlav (NT, T), harticka (NT, T), knottrig blåslav (NT, T), kolflarnlav (NT, T), kortskaftad ärgspik (NT), lavskrika (NT, T, §4), liten svartspik (NT), lunglav (NT, T), mörk kolflarnlav (NT), nordtagging (NT), rosenticka (NT, T), rutspindling (NT), skogshare (NT), skrovellav (NT, T), stjärntagging (NT, T), talltagel (NT, T), talltita (NT, §4), tretåig hackspett (NT, T, §4), ullticka (NT, T), vaddporing (NT),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22 fyndplatser för knärot registrerade på Artportalen. Figur 2 visar gränserna för buffertzoner på 50 m, som behöver lämnas kring fyndplatserna för att knärotslokalerna inte ska försvinna vid en avverkning. Av det aktuella området överlappar 7.17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61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