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området Muörkienåjvvie i Arjeplogs kommun</w:t>
      </w:r>
    </w:p>
    <w:p>
      <w:r>
        <w:t>Detta klagomål behandlar höga naturvärden i området Muörkienåjvvie i Arjeplogs kommun som inkom 2026-07-20 och omfattar 121,8 ha.</w:t>
      </w:r>
    </w:p>
    <w:p>
      <w:pPr>
        <w:pStyle w:val="Caption"/>
      </w:pPr>
      <w:r>
        <w:drawing>
          <wp:inline xmlns:a="http://schemas.openxmlformats.org/drawingml/2006/main" xmlns:pic="http://schemas.openxmlformats.org/drawingml/2006/picture">
            <wp:extent cx="5486400" cy="5635344"/>
            <wp:docPr id="1" name="Picture 1"/>
            <wp:cNvGraphicFramePr>
              <a:graphicFrameLocks noChangeAspect="1"/>
            </wp:cNvGraphicFramePr>
            <a:graphic>
              <a:graphicData uri="http://schemas.openxmlformats.org/drawingml/2006/picture">
                <pic:pic>
                  <pic:nvPicPr>
                    <pic:cNvPr id="0" name="Muörkienåjvvie karta.png"/>
                    <pic:cNvPicPr/>
                  </pic:nvPicPr>
                  <pic:blipFill>
                    <a:blip r:embed="rId16"/>
                    <a:stretch>
                      <a:fillRect/>
                    </a:stretch>
                  </pic:blipFill>
                  <pic:spPr>
                    <a:xfrm>
                      <a:off x="0" y="0"/>
                      <a:ext cx="5486400" cy="5635344"/>
                    </a:xfrm>
                    <a:prstGeom prst="rect"/>
                  </pic:spPr>
                </pic:pic>
              </a:graphicData>
            </a:graphic>
          </wp:inline>
        </w:drawing>
      </w:r>
    </w:p>
    <w:p>
      <w:pPr>
        <w:pStyle w:val="Caption"/>
        <w:spacing w:after="240"/>
      </w:pPr>
      <w:r>
        <w:t>Figur 1. Fyndplatser för naturvårdsarter i området. Markörer utan svart kant är placerade på fyndplatsen. Markörer med svart kant är placerade vid sidan av fyndplatsen och har ett svart streck som visar fyndplatsens exakta position. Kartans mittpunktskoordinat är N 7282921, E 646579 i SWEREF 99 TM.</w:t>
      </w:r>
    </w:p>
    <w:p>
      <w:r>
        <w:t>I området finns fynd av 6 naturvårdsarter, varav 6 är rödlistade, 1 är fridlyst och 6 är typiska (T): doftticka (VU, T, §8), gränsticka (VU, T), ostticka (VU, T), doftskinn (NT, T), rosenticka (NT, T) och rynkskinn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aktuella skogen. De påträffade naturvårdsarterna är ett tydligt kvitto på att det rör sig om en skog med höga naturvärden.</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och är typisk art för </w:t>
      </w:r>
      <w:r>
        <w:rPr>
          <w:i/>
        </w:rPr>
        <w:t>9010 Taiga</w:t>
      </w:r>
      <w:r>
        <w:t xml:space="preserve"> och</w:t>
      </w:r>
      <w:r>
        <w:rPr>
          <w:i/>
        </w:rPr>
        <w:t xml:space="preserve"> 9050 Näringsrik granskog </w:t>
      </w:r>
      <w:r>
        <w:t>(IUCN Redlist, 2024; Nitare &amp; Skogsstyrelsen, 2019; SLU Artdatabanken, 2024).</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 xml:space="preserve">Ostticka (VU) </w:t>
      </w:r>
      <w:r>
        <w:t xml:space="preserve">växer huvudsakligen på grova granlågor i urskogsartad barrskog. Växtplatserna ligger vanligtvis i brandrefugiala områden med relativt hög luftfuktighet där skogen under lång tid haft en intern beståndsdynamik med successivt avdöende träd. Alla skogsskötselåtgärder på eller i omedelbar närhet av lokalerna inverkar negativt på artens fortlevnad. Ostticka är typisk art för </w:t>
      </w:r>
      <w:r>
        <w:rPr>
          <w:i/>
        </w:rPr>
        <w:t xml:space="preserve">9010 Taiga </w:t>
      </w:r>
      <w:r>
        <w:t xml:space="preserve">och </w:t>
      </w:r>
      <w:r>
        <w:rPr>
          <w:i/>
        </w:rPr>
        <w:t>9030 Landhöjningsskog</w:t>
      </w:r>
      <w:r>
        <w:t xml:space="preserve"> (SLU Artdatabanken, 2024; Nitare &amp; Skogsstyrelsen, 2019).</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aktuella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aktuella skogsområdet har 6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aktuella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