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16 naturvårdsarter, varav 12 är rödlistade, 15 är typiska (T) och 4 är signalarter (S): garnlav (VU, T), grantickeporing (VU), gränsticka (VU, T), ostticka (VU, T), vitskaftad svartspik (VU, T), gammelgransskål (NT, T), harticka (NT, T), knottrig blåslav (NT, T), rosenticka (NT, T), rynkskinn (NT, T), ullticka (NT, T), violmussling (NT, T), blodticka (S, T), stuplav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gammelgransskål (NT, T), harticka (NT, T), knottrig blåslav (NT, T), rosenticka (NT, T), rynkskinn (NT, T), ullticka (NT, T), violmussling (NT, T), blodticka (S, T), stuplav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