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6888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6888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65 naturvårdsarter, varav 39 är rödlistade, 10 är fridlysta, 44 är typiska (T) och 13 är signalarter (S): garnlav (VU, T), grantickeporing (VU), grenlav (VU), gränsticka (VU, T), kilporing (VU), kristallticka (VU), lappticka (VU, T), Lecidea subhumida (VU), nordlig parasitporing (VU), ostticka (VU, T), sprickporing (VU), tajgaskinn (VU), vitskaftad svartspik (VU, T), barrviolspindling (NT), blanksvart spiklav (NT), blågrå svartspik (NT), brunklöver (NT), doftskinn (NT, T), dvärgbägarlav (NT, T), gammelgransskål (NT, T), grå blåbärsfältmätare (NT), harticka (NT, T), knottrig blåslav (NT, T), lavskrika (NT, T, §4), liten svartspik (NT), lunglav (NT, T), nordlig nållav (NT), rosenticka (NT, T), Rostania pallida (NT), rynkskinn (NT, T), rödbrun blekspik (NT, T), skrovellav (NT, T), stjärntagging (NT, T), talltita (NT, §4), tretåig hackspett (NT, T, §4), ullticka (NT, T), vedflamlav (NT), vedskivlav (NT, T), vitgrynig nållav (NT),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