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Maskaure Siebdniesjávrrie-Lillberget, 122 ha i Arjeplogs kommun</w:t>
      </w:r>
    </w:p>
    <w:p>
      <w:r>
        <w:t>Detta klagomål behandlar höga naturvärden i området Maskaure Siebdniesjávrrie-Lillberget, 122 ha i Arjeplogs kommun som inkom 2026-07-20 och omfattar 122,1 ha.</w:t>
      </w:r>
    </w:p>
    <w:p>
      <w:pPr>
        <w:pStyle w:val="Caption"/>
      </w:pPr>
      <w:r>
        <w:drawing>
          <wp:inline xmlns:a="http://schemas.openxmlformats.org/drawingml/2006/main" xmlns:pic="http://schemas.openxmlformats.org/drawingml/2006/picture">
            <wp:extent cx="4976648" cy="5724000"/>
            <wp:docPr id="1" name="Picture 1"/>
            <wp:cNvGraphicFramePr>
              <a:graphicFrameLocks noChangeAspect="1"/>
            </wp:cNvGraphicFramePr>
            <a:graphic>
              <a:graphicData uri="http://schemas.openxmlformats.org/drawingml/2006/picture">
                <pic:pic>
                  <pic:nvPicPr>
                    <pic:cNvPr id="0" name="Maskaure Siebdniesjávrrie-Lillberget, 122 ha karta.png"/>
                    <pic:cNvPicPr/>
                  </pic:nvPicPr>
                  <pic:blipFill>
                    <a:blip r:embed="rId16"/>
                    <a:stretch>
                      <a:fillRect/>
                    </a:stretch>
                  </pic:blipFill>
                  <pic:spPr>
                    <a:xfrm>
                      <a:off x="0" y="0"/>
                      <a:ext cx="4976648" cy="5724000"/>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7301716, E 628245 i SWEREF 99 TM.</w:t>
      </w:r>
    </w:p>
    <w:p>
      <w:r>
        <w:t>I området finns fynd av 40 naturvårdsarter, varav 28 är rödlistade, 8 är fridlysta, 25 är typiska (T) och 7 är signalarter (S): fläckporing (VU, T), garnlav (VU, T), grantickeporing (VU), nordlig parasitporing (VU), ostticka (VU, T), blanksvart spiklav (NT), doftskinn (NT, T), dvärgbägarlav (NT, T), gammelgransskål (NT, T), harticka (NT, T), knottrig blåslav (NT, T), kolflarnlav (NT, T), kortskaftad ärgspik (NT), lavskrika (NT, T, §4), liten svartspik (NT), nordtagging (NT), rosenticka (NT, T), rynkskinn (NT, T), skogshare (NT), stjärntagging (NT, T), talltagel (NT, T), talltita (NT, §4), tretåig hackspett (NT, T, §4), ullticka (NT, T), vedflamlav (NT), vedskivlav (NT, T), vitgrynig nållav (NT), äggvaxskivling (NT), blodticka (S, T), bollvitmossa (S, T), bårdlav (S, T), norrlandslav (S, T), spindelblomster (S, T, §8), stuplav (S, T), vågbandad barkbock (S), tjäder (T, §4), ängskovall (T),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Nordlig parasitporing (VU)</w:t>
      </w:r>
      <w:r>
        <w:t xml:space="preserve"> växer på döda, liggande, grova stammar av framförallt gran, någon gång tall och påträffas i mager granskog, ofta naturskogsartad eller i fjällnära skog. Artens substrat, lågor förrötade av violticke-arter (</w:t>
      </w:r>
      <w:r>
        <w:rPr>
          <w:i/>
        </w:rPr>
        <w:t>Trichaptum spp</w:t>
      </w:r>
      <w:r>
        <w:t>) bedöms inte vara på tillbakagång, däremot minskar arealen kontinuitetsskogar i norr vilket utgör artens huvudsakliga livsmiljöer. Lokaler med arten måste skyddas från kalavverkning och skogliga åtgärder (SLU Artdatabanken, 2025).</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40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