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15 naturvårdsarter, varav 11 är rödlistade, 14 är typiska (T) och 4 är signalarter (S): grantickeporing (VU), gränsticka (VU, T), ostticka (VU, T), vitskaftad svartspik (VU, T), gammelgransskål (NT, T), harticka (NT, T), knottrig blåslav (NT, T), rosenticka (NT, T), rynkskinn (NT, T), ullticka (NT, T), violmussling (NT, T), blodticka (S, T), stuplav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gränsticka (VU, T), ostticka (VU, T), vitskaftad svartspik (VU, T), gammelgransskål (NT, T), harticka (NT, T), knottrig blåslav (NT, T), rosenticka (NT, T), rynkskinn (NT, T), ullticka (NT, T), violmussling (NT, T), blodticka (S, T), stuplav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