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området Västra Kikkejaure Rengärdet avvanm i Arjeplogs kommun</w:t>
      </w:r>
    </w:p>
    <w:p>
      <w:r>
        <w:t>Denna tillsynsbegäran behandlar höga naturvärden i området Västra Kikkejaure Rengärdet avvanm i Arjeplogs kommun som inkom 2026-07-20 och omfattar 10,4 ha.</w:t>
      </w:r>
    </w:p>
    <w:p>
      <w:pPr>
        <w:pStyle w:val="Caption"/>
      </w:pPr>
      <w:r>
        <w:drawing>
          <wp:inline xmlns:a="http://schemas.openxmlformats.org/drawingml/2006/main" xmlns:pic="http://schemas.openxmlformats.org/drawingml/2006/picture">
            <wp:extent cx="5486400" cy="5631573"/>
            <wp:docPr id="1" name="Picture 1"/>
            <wp:cNvGraphicFramePr>
              <a:graphicFrameLocks noChangeAspect="1"/>
            </wp:cNvGraphicFramePr>
            <a:graphic>
              <a:graphicData uri="http://schemas.openxmlformats.org/drawingml/2006/picture">
                <pic:pic>
                  <pic:nvPicPr>
                    <pic:cNvPr id="0" name="Västra Kikkejaure Rengärdet avvanm karta.png"/>
                    <pic:cNvPicPr/>
                  </pic:nvPicPr>
                  <pic:blipFill>
                    <a:blip r:embed="rId16"/>
                    <a:stretch>
                      <a:fillRect/>
                    </a:stretch>
                  </pic:blipFill>
                  <pic:spPr>
                    <a:xfrm>
                      <a:off x="0" y="0"/>
                      <a:ext cx="5486400" cy="5631573"/>
                    </a:xfrm>
                    <a:prstGeom prst="rect"/>
                  </pic:spPr>
                </pic:pic>
              </a:graphicData>
            </a:graphic>
          </wp:inline>
        </w:drawing>
      </w:r>
    </w:p>
    <w:p>
      <w:pPr>
        <w:pStyle w:val="Caption"/>
        <w:spacing w:after="240"/>
      </w:pPr>
      <w:r>
        <w:t>Figur 1. Fyndplatser för naturvårdsarter i och inom 25 meter från området. Markörer utan svart kant är placerade på fyndplatsen. Markörer med svart kant är placerade vid sidan av fyndplatsen och har ett svart streck som visar fyndplatsens exakta position. Kartans mittpunktskoordinat är N 7308417, E 640714 i SWEREF 99 TM.</w:t>
      </w:r>
    </w:p>
    <w:p>
      <w:r>
        <w:t>I och inom 25 meter från området finns fynd av 26 naturvårdsarter, varav 21 är rödlistade, 5 är fridlysta, 13 är typiska (T) och 3 är signalarter (S): fläckporing (VU, T), garnlav (VU, T), Lecidea subhumida (VU), blanksvart spiklav (NT), blå taggsvamp (NT, T), blågrå svartspik (NT), dvärgbägarlav (NT, T), gammelgransskål (NT, T), gropig brunbagge (NT), grå blåbärsfältmätare (NT), kortskaftad ärgspik (NT), ladlav (NT, T), lavskrika (NT, T, §4), nordtagging (NT), orange taggsvamp (NT, T), talltagel (NT, T), tretåig hackspett (NT, T, §4), vedflamlav (NT), vedskivlav (NT, T), vitgrynig nållav (NT), vitplätt (NT), blodticka (S, T), plattlummer (S, T, §9), vågbandad barkbock (S), vanlig padda (§6)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området och föreningens inlaga (se 34 § förvaltningslagen).</w:t>
      </w:r>
    </w:p>
    <w:p>
      <w:pPr>
        <w:pStyle w:val="Heading1"/>
      </w:pPr>
      <w:r>
        <w:t>Naturvårdsarter och fridlysta arter</w:t>
      </w:r>
    </w:p>
    <w:p>
      <w:r>
        <w:t>Nedan följer beskrivningar av de naturvårdsarter och fridlysta arter som har sina livsmiljöer och växtplatser i den aktuella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i/>
        </w:rPr>
        <w:t xml:space="preserve">Lecidea subhumida </w:t>
      </w:r>
      <w:r>
        <w:rPr>
          <w:b/>
        </w:rPr>
        <w:t>(VU)</w:t>
      </w:r>
      <w:r>
        <w:t xml:space="preserve"> är en skivlav som växer på ved (grenar, stam) av gamla tallar i subalpin skog. Arten påverkas negativt av brist på kontinuitetsskog och en minskning av populationen pågår eller förväntas ske. Antalet individer bedöms vara lägre än gränsvärdet för sårbar (VU)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Gropig brunbagge (NT)</w:t>
      </w:r>
      <w:r>
        <w:t xml:space="preserve"> är en skalbagge vars larvutveckling sker i mycel av violticka (</w:t>
      </w:r>
      <w:r>
        <w:rPr>
          <w:i/>
        </w:rPr>
        <w:t>Trichaptum abietinum</w:t>
      </w:r>
      <w:r>
        <w:t xml:space="preserve">) under barken på döda, stående eller liggande granar och tallar. Larven lever av svampens mycel mellan bark och ved, någon gång även ytligt i veden. Förekommer främst i äldre bestånd med rik förekomst av lågor. Den fullbildade skalbaggen påträffas lättast från hösten till försommaren i puppkammaren. Den hotas av slutavverkningar och även gallring av för arten lämplig skog. Skogsbestånd med riklig förekomst av grova lågor med violticka bör om möjligt lämnas orörda (till båtnad för såväl denna art som bland andra gulbandad brunbagge </w:t>
      </w:r>
      <w:r>
        <w:rPr>
          <w:i/>
        </w:rPr>
        <w:t xml:space="preserve">Orchesia fasciata </w:t>
      </w:r>
      <w:r>
        <w:t xml:space="preserve">(NT), brunkantad brunbagge </w:t>
      </w:r>
      <w:r>
        <w:rPr>
          <w:i/>
        </w:rPr>
        <w:t xml:space="preserve">Dolotarsus lividus </w:t>
      </w:r>
      <w:r>
        <w:t>(RE)</w:t>
      </w:r>
      <w:r>
        <w:rPr>
          <w:i/>
        </w:rPr>
        <w:t xml:space="preserve"> </w:t>
      </w:r>
      <w:r>
        <w:t xml:space="preserve">och trefläckig brunbagge </w:t>
      </w:r>
      <w:r>
        <w:rPr>
          <w:i/>
        </w:rPr>
        <w:t>Wanachia triguttata</w:t>
      </w:r>
      <w:r>
        <w:t>) (SLU Artdatabanken, 2024).</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Ladlav (NT) </w:t>
      </w:r>
      <w:r>
        <w:t xml:space="preserve">växer på gammal torr och hård kärnved i exponerade lägen. Naturliga växtplatser är torrakor, högstubbar och döda grenar av levande tallar på myrar, vid sjöar och kuster samt i berg- och rasbranter. Miljön nyskapas i begränsad omfattning. Ladlav hotas av att gammal, torr och exponerad kärnved försvinner genom avverkningar. Igenväxning och förtätning av brandpräglade skogar är också ett hot. I jordbrukslandskapet är målning och restaurering av gamla ängslador, staket m.m. är ett stort hot mot lavens förekomst. Ladlav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aktuella skogen: fläckporing (VU, T), garnlav (VU, T), blå taggsvamp (NT, T), dvärgbägarlav (NT, T), gammelgransskål (NT, T), ladlav (NT, T), lavskrika (NT, T, §4), orange taggsvamp (NT, T), talltagel (NT, T), tretåig hackspett (NT, T, §4), vedskivlav (NT, T), blodticka (S, T) och plattlummer (S,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