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7347047, E 619695 i SWEREF 99 TM.</w:t>
      </w:r>
    </w:p>
    <w:p>
      <w:r>
        <w:t>I området finns fynd av 31 naturvårdsarter, varav 19 är rödlistade, 7 är fridlysta, 22 är typiska (T) och 7 är signalarter (S): fläckporing (VU, T), garnlav (VU, T), gräddporing (VU, T), knärot (VU, T, §8), blanksvart spiklav (NT), dropptaggsvamp (NT, T), dvärgbägarlav (NT, T), gullmurkling (NT), knottrig blåslav (NT, T), liten svartspik (NT), rutspindling (NT), skrovellav (NT, T), talltagel (NT, T), talltaggsvamp (NT), talltita (NT, §4), tretåig hackspett (NT, T, §4), vedflamlav (NT), vedskivlav (NT, T), vitplätt (NT), korallrot (S, T, §8), norrlandslav (S, T), plattlummer (S, T, §9), skinnlav (S, T), spindelblomster (S, T, §8), stuplav (S, T), ögonpyrola (S, T), brudborste (T), grå renlav (T), nordisk stormhatt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8 fyndplatser för knärot registrerade på Artportalen. Figur 2 visar gränserna för buffertzoner på 50 m, som behöver lämnas kring fyndplatserna för att knärotslokalerna inte ska försvinna vid en avverkning. Av det aktuella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