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31 naturvårdsarter, varav 19 är rödlistade, 7 är fridlysta, 22 är typiska (T) och 7 är signalarter (S): fläckporing (VU, T), garnlav (VU, T), gräddporing (VU, T), knärot (VU, T, §8), blanksvart spiklav (NT), dropptaggsvamp (NT, T), dvärgbägarlav (NT, T), gullmurkling (NT), knottrig blåslav (NT, T), liten svartspik (NT), rutspindling (NT), skrovellav (NT, T), talltagel (NT, T), talltaggsvamp (NT), talltita (NT, §4), tretåig hackspett (NT, T, §4), vedflamlav (NT), vedskivlav (NT, T), vitplätt (NT), korallrot (S, T, §8), norrlandslav (S, T), plattlummer (S, T, §9), skinnlav (S, T), spindelblomster (S, T, §8), stuplav (S, T), ögonpyrola (S, T), brudborste (T), grå renlav (T), nordisk stormhatt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8 fyndplatser för knärot registrerade på Artportalen. Figur 2 visar gränserna för buffertzoner på 50 m, som behöver lämnas kring fyndplatserna för att knärotslokalerna inte ska försvinna vid en avverkning. Av det aktuella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dropptaggsvamp (NT, T), dvärgbägarlav (NT, T), knottrig blåslav (NT, T), skrovellav (NT, T), talltagel (NT, T), tretåig hackspett (NT, T, §4), vedskivlav (NT, T), korallrot (S, T, §8), norrlandslav (S, T), plattlummer (S, T, §9), skinnlav (S, T), spindelblomster (S, T, §8), stuplav (S, T), ögonpyrola (S, T), brudborste (T), grå renlav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