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området Muorkenåive-Ássjátj N i Arjeplogs kommun</w:t>
      </w:r>
    </w:p>
    <w:p>
      <w:r>
        <w:t>Detta klagomål behandlar höga naturvärden i området Muorkenåive-Ássjátj N i Arjeplogs kommun som inkom 2026-07-20 och omfattar 111,8 ha.</w:t>
      </w:r>
    </w:p>
    <w:p>
      <w:pPr>
        <w:pStyle w:val="Caption"/>
      </w:pPr>
      <w:r>
        <w:drawing>
          <wp:inline xmlns:a="http://schemas.openxmlformats.org/drawingml/2006/main" xmlns:pic="http://schemas.openxmlformats.org/drawingml/2006/picture">
            <wp:extent cx="5486400" cy="3869674"/>
            <wp:docPr id="1" name="Picture 1"/>
            <wp:cNvGraphicFramePr>
              <a:graphicFrameLocks noChangeAspect="1"/>
            </wp:cNvGraphicFramePr>
            <a:graphic>
              <a:graphicData uri="http://schemas.openxmlformats.org/drawingml/2006/picture">
                <pic:pic>
                  <pic:nvPicPr>
                    <pic:cNvPr id="0" name="Muorkenåive-Ássjátj N karta.png"/>
                    <pic:cNvPicPr/>
                  </pic:nvPicPr>
                  <pic:blipFill>
                    <a:blip r:embed="rId16"/>
                    <a:stretch>
                      <a:fillRect/>
                    </a:stretch>
                  </pic:blipFill>
                  <pic:spPr>
                    <a:xfrm>
                      <a:off x="0" y="0"/>
                      <a:ext cx="5486400" cy="3869674"/>
                    </a:xfrm>
                    <a:prstGeom prst="rect"/>
                  </pic:spPr>
                </pic:pic>
              </a:graphicData>
            </a:graphic>
          </wp:inline>
        </w:drawing>
      </w:r>
    </w:p>
    <w:p>
      <w:pPr>
        <w:pStyle w:val="Caption"/>
        <w:spacing w:after="240"/>
      </w:pPr>
      <w:r>
        <w:t>Figur 1. Fyndplatser för naturvårdsarter i och inom 23 meter från området. Markörer utan svart kant är placerade på fyndplatsen. Markörer med svart kant är placerade vid sidan av fyndplatsen och har ett svart streck som visar fyndplatsens exakta position. Kartans mittpunktskoordinat är N 7331151, E 599286 i SWEREF 99 TM.</w:t>
      </w:r>
    </w:p>
    <w:p>
      <w:r>
        <w:t>I och inom 23 meter från området finns fynd av 87 naturvårdsarter, varav 46 är rödlistade, 14 är fridlysta, 57 är typiska (T) och 19 är signalarter (S): garnlav (VU, T), grantickeporing (VU), grenlav (VU), gränsticka (VU, T), kilporing (VU), kristallticka (VU), lappticka (VU, T), Lecidea subhumida (VU), nordlig parasitporing (VU), olivinkremla (VU), ostticka (VU, T), smalskaftslav (VU), sprickporing (VU), tajgaskinn (VU), ulltickeporing (VU), vitskaftad svartspik (VU, T), barrviolspindling (NT), blanksvart spiklav (NT), blågrå svartspik (NT), brunklöver (NT), brunpudrad nållav (NT, T), doftskinn (NT, T), dvärgbägarlav (NT, T), gammelgransskål (NT, T), grå blåbärsfältmätare (NT), harticka (NT, T), knottrig blåslav (NT, T), lavskrika (NT, T, §4), liten svartspik (NT), lunglav (NT, T), nordlig nållav (NT), oljetagging (NT), rosenticka (NT, T), Rostania pallida (NT), rutspindling (NT), rynkskinn (NT, T), rödbrun blekspik (NT, T), skogshare (NT), skrovellav (NT, T), stjärntagging (NT, T), talltita (NT, §4), tretåig hackspett (NT, T, §4), ullticka (NT, T), vedflamlav (NT), vedskivlav (NT, T), vitgrynig nållav (NT), blodticka (S, T), bårdlav (S, T), finbräken (S, T), grönkulla (S, T, §8), gulnål (S, T), korallrot (S, T, §8), kornig nållav (S, T), källpraktmossa (S, T), luddlav (S, T), norrlandslav (S, T), rostfläck (S, T), skinnlav (S, T), skogshakmossa (S, T), spindelblomster (S, T, §8), stuplav (S, T), tibast (S, T), trådticka (S, T), vedticka (S, T), ögonpyrola (S, T), bergsslok (T), brudborste (T), ekbräken (T), ekorrbär (T), fjällskära (T), hultbräken (T), humleblomster (T), järpe (T, §4), kransmossa (T), kärrfibbla (T), lundarv (T), nordisk stormhatt (T), ormbär (T), spillkråka (T, §4), svarta vinbär (T), tjäder (T, §4), torta (T), vanlig groda (§6), brudsporre (§8), fläcknycklar (§8), myggblomster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Kilporing (VU)</w:t>
      </w:r>
      <w:r>
        <w:t xml:space="preserve"> växer på barken av döda liggande grova stammar av tall och gran som är förrötade av tickor som violticka </w:t>
      </w:r>
      <w:r>
        <w:rPr>
          <w:i/>
        </w:rPr>
        <w:t>Trichaptum spp</w:t>
      </w:r>
      <w:r>
        <w:t>. Avverkning av naturskogslika miljöer och av grova granar där svampen förekommer är ett direkt hot mot artens fortlevnad. Undanta gamla granskogar som hyser kilporing från skogsbruk och gynna arten genom att avsätta fler barrskogar till fri utveckling (SLU Artdatabanken, 2026).</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Nordlig parasitporing (VU)</w:t>
      </w:r>
      <w:r>
        <w:t xml:space="preserve"> växer på döda, liggande, grova stammar av framförallt gran, någon gång tall och påträffas i mager granskog, ofta naturskogsartad eller i fjällnära skog. Artens substrat, lågor förrötade av violticke-arter (</w:t>
      </w:r>
      <w:r>
        <w:rPr>
          <w:i/>
        </w:rPr>
        <w:t>Trichaptum spp</w:t>
      </w:r>
      <w:r>
        <w:t>) bedöms inte vara på tillbakagång, däremot minskar arealen kontinuitetsskogar i norr vilket utgör artens huvudsakliga livsmiljöer. Lokaler med arten måste skyddas från kalavverkning och skogliga åtgärder (SLU Artdatabanken, 2025).</w:t>
      </w:r>
    </w:p>
    <w:p>
      <w:r>
        <w:rPr>
          <w:b/>
        </w:rPr>
        <w:t>Olivinkremla (VU)</w:t>
      </w:r>
      <w:r>
        <w:t xml:space="preserve"> bildar mykorrhiza med gran i örtrik granskog, särskilt på fuktig och gärna något kalkhaltig mark. Arten är knuten till exklusiva örtrika granskogar. Total population i landet bedöms ha minskat kraftigt och fortgående att minska, huvudsakligen p.g.a. slutavverkning av rikare örtgranskog i Norrland. Arten är en del av ett marksvampsamhälle i en granskogstyp på rik mark som sällan skyddas och/eller undantas vid produktionsskogsbruk. En långsiktig tillgång till värdträd säkras genom att växtplatserna undantas från avverkning. Utsätt inte växtplatser för kraftiga störningar av typen dikning, markberedning eller körning med skogsfordon (SLU Artdatabanken, 2026).</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i/>
        </w:rPr>
        <w:t xml:space="preserve">Rostania pallida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Minskningstakten för den svenska populationen bedöms vara nära gränsvärdet för sårbar (VU) (SLU Artdatabanken, 2026).</w:t>
      </w:r>
    </w:p>
    <w:p>
      <w:r>
        <w:rPr>
          <w:b/>
        </w:rPr>
        <w:t>Rutspindling (NT)</w:t>
      </w:r>
      <w:r>
        <w:t xml:space="preserve"> bildar mykorrhiza med gran, i ängsgranskog på fuktig näringsrik mark. Iögonfallande och lätt identifierbar art där lukten på skivorna påminner om lingon. Populationerna minskar genom pågående kraftig kalavverkning av äldre granskogar av denna typ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 xml:space="preserve">Fjällskära </w:t>
      </w:r>
      <w:r>
        <w:t xml:space="preserve">är typisk art för </w:t>
      </w:r>
      <w:r>
        <w:rPr>
          <w:i/>
        </w:rPr>
        <w:t xml:space="preserve">9040 Fjällbjörkskog, 6530 Lövängar, 6510 Slåtterängar i låglandet </w:t>
      </w:r>
      <w:r>
        <w:t xml:space="preserve">och </w:t>
      </w:r>
      <w:r>
        <w:rPr>
          <w:i/>
        </w:rPr>
        <w:t>7310 Aapamyrar</w:t>
      </w:r>
      <w:r>
        <w:t>. Fjällskära är värdväxt för bl.a. de rödlistade fjärilarna fjällskärefrövecklare (VU) och fjällskäreplattmal (VU)</w:t>
      </w:r>
      <w:r>
        <w:rPr>
          <w:i/>
        </w:rPr>
        <w:t xml:space="preserve"> </w:t>
      </w:r>
      <w:r>
        <w:t>(SLU Artdatabanken, 2026).</w:t>
      </w:r>
    </w:p>
    <w:p>
      <w:r>
        <w:rPr>
          <w:b/>
        </w:rPr>
        <w:t xml:space="preserve">Hultbräken </w:t>
      </w:r>
      <w:r>
        <w:t xml:space="preserve">är typisk art för </w:t>
      </w:r>
      <w:r>
        <w:rPr>
          <w:i/>
        </w:rPr>
        <w:t xml:space="preserve">9050 Näringsrik granskog </w:t>
      </w:r>
      <w:r>
        <w:t>(SLU Artdatabanken, 2025).</w:t>
      </w:r>
    </w:p>
    <w:p>
      <w:r>
        <w:rPr>
          <w:b/>
        </w:rPr>
        <w:t>Humleblomster</w:t>
      </w:r>
      <w:r>
        <w:t xml:space="preserve"> är typisk art för </w:t>
      </w:r>
      <w:r>
        <w:rPr>
          <w:i/>
        </w:rPr>
        <w:t xml:space="preserve">9040 Fjällbjörkskog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Lundarv</w:t>
      </w:r>
      <w:r>
        <w:t xml:space="preserve"> är typisk art för </w:t>
      </w:r>
      <w:r>
        <w:rPr>
          <w:i/>
        </w:rPr>
        <w:t xml:space="preserve">9130 Näringsrik bokskog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Svarta vinbär</w:t>
      </w:r>
      <w:r>
        <w:t xml:space="preserve"> är typisk art för </w:t>
      </w:r>
      <w:r>
        <w:rPr>
          <w:i/>
        </w:rPr>
        <w:t xml:space="preserve">9050 Näringsrik granskog </w:t>
      </w:r>
      <w:r>
        <w:t>och</w:t>
      </w:r>
      <w:r>
        <w:rPr>
          <w:i/>
        </w:rPr>
        <w:t xml:space="preserve"> 6430 Högörtängar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aktuella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aktuella skogsområdet har 65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aktuella skogsområdet har 87 naturvårdsarter varav 46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aktuella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