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Iksjak-Råssnesudden i Arjeplogs kommun</w:t>
      </w:r>
    </w:p>
    <w:p>
      <w:r>
        <w:t>Denna tillsynsbegäran behandlar höga naturvärden i området Iksjak-Råssnesudden i Arjeplogs kommun som inkom 2026-07-20 och omfattar 676,5 ha.</w:t>
      </w:r>
    </w:p>
    <w:p>
      <w:pPr>
        <w:pStyle w:val="Caption"/>
      </w:pPr>
      <w:r>
        <w:drawing>
          <wp:inline xmlns:a="http://schemas.openxmlformats.org/drawingml/2006/main" xmlns:pic="http://schemas.openxmlformats.org/drawingml/2006/picture">
            <wp:extent cx="5486400" cy="4678079"/>
            <wp:docPr id="1" name="Picture 1"/>
            <wp:cNvGraphicFramePr>
              <a:graphicFrameLocks noChangeAspect="1"/>
            </wp:cNvGraphicFramePr>
            <a:graphic>
              <a:graphicData uri="http://schemas.openxmlformats.org/drawingml/2006/picture">
                <pic:pic>
                  <pic:nvPicPr>
                    <pic:cNvPr id="0" name="Iksjak-Råssnesudden karta.png"/>
                    <pic:cNvPicPr/>
                  </pic:nvPicPr>
                  <pic:blipFill>
                    <a:blip r:embed="rId16"/>
                    <a:stretch>
                      <a:fillRect/>
                    </a:stretch>
                  </pic:blipFill>
                  <pic:spPr>
                    <a:xfrm>
                      <a:off x="0" y="0"/>
                      <a:ext cx="5486400" cy="4678079"/>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7347047, E 619695 i SWEREF 99 TM.</w:t>
      </w:r>
    </w:p>
    <w:p>
      <w:r>
        <w:t>I och inom 23 meter från området finns fynd av 66 naturvårdsarter, varav 42 är rödlistade, 12 är fridlysta, 45 är typiska (T) och 12 är signalarter (S): doftticka (VU, T, §8), fläckporing (VU, T), garnlav (VU, T), gräddporing (VU, T), gräddticka (VU), gränsticka (VU, T), knärot (VU, T, §8), Lecidea subhumida (VU), smalfotad taggsvamp (VU), blanksvart spiklav (NT), blå taggsvamp (NT, T), blågrå svartspik (NT), brunpudrad nållav (NT, T), dropptaggsvamp (NT, T), dvärgbägarlav (NT, T), grå blåbärsfältmätare (NT), harticka (NT, T), knottrig blåslav (NT, T), kolflarnlav (NT, T), kortskaftad ärgspik (NT), lavskrika (NT, T, §4), liten svartspik (NT), lunglav (NT, T), mörk kolflarnlav (NT), nordtagging (NT), rosenticka (NT, T), rutspindling (NT), rödbrun blekspik (NT, T), skogshare (NT), skrovellav (NT, T), stjärntagging (NT, T), talltagel (NT, T), talltita (NT, §4), tretåig hackspett (NT, T, §4), ullticka (NT, T), vaddporing (NT), vedflamlav (NT), vedskivlav (NT, T), vedtrappmossa (NT, T), violettgrå tagellav (NT, T), vitgrynig nållav (NT), vitplätt (NT), blodticka (S, T), bårdlav (S, T), dvärgtufs (S), korallrot (S, T, §8), källpraktmossa (S, T), luddlav (S, T), norrlandslav (S, T), plattlummer (S, T, §9), skinnlav (S, T), spindelblomster (S, T, §8), stuplav (S, T), ögonpyrola (S, T), bergsslok (T), brudborste (T), ekbräken (T), grå renlav (T), hultbräken (T), nordisk stormhatt (T), ormbär (T), tjäder (T, §4), torta (T),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23 fyndplatser för knärot registrerade på Artportalen. Figur 2 visar gränserna för buffertzoner på 50 m, som behöver lämnas kring fyndplatserna för att knärotslokalerna inte ska försvinna vid en avverkning. Av det aktuella området överlappar 7.24 ha med buffertzonerna och får av detta skäl inte avverkas.</w:t>
      </w:r>
    </w:p>
    <w:p>
      <w:pPr>
        <w:pStyle w:val="Caption"/>
      </w:pPr>
      <w:r>
        <w:drawing>
          <wp:inline xmlns:a="http://schemas.openxmlformats.org/drawingml/2006/main" xmlns:pic="http://schemas.openxmlformats.org/drawingml/2006/picture">
            <wp:extent cx="5486400" cy="3915894"/>
            <wp:docPr id="2" name="Picture 2"/>
            <wp:cNvGraphicFramePr>
              <a:graphicFrameLocks noChangeAspect="1"/>
            </wp:cNvGraphicFramePr>
            <a:graphic>
              <a:graphicData uri="http://schemas.openxmlformats.org/drawingml/2006/picture">
                <pic:pic>
                  <pic:nvPicPr>
                    <pic:cNvPr id="0" name="Iksjak-Råssnesudden karta knärot.png"/>
                    <pic:cNvPicPr/>
                  </pic:nvPicPr>
                  <pic:blipFill>
                    <a:blip r:embed="rId17"/>
                    <a:stretch>
                      <a:fillRect/>
                    </a:stretch>
                  </pic:blipFill>
                  <pic:spPr>
                    <a:xfrm>
                      <a:off x="0" y="0"/>
                      <a:ext cx="5486400" cy="3915894"/>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7347047, E 619695 i SWEREF 99 TM.</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Hultbräken </w:t>
      </w:r>
      <w:r>
        <w:t xml:space="preserve">är typisk art för </w:t>
      </w:r>
      <w:r>
        <w:rPr>
          <w:i/>
        </w:rPr>
        <w:t xml:space="preserve">9050 Näringsrik granskog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doftticka (VU, T, §8), fläckporing (VU, T), garnlav (VU, T), gräddporing (VU, T), gränsticka (VU, T), knärot (VU, T, §8), blå taggsvamp (NT, T), brunpudrad nållav (NT, T), dropptaggsvamp (NT, T), dvärgbägarlav (NT, T), harticka (NT, T), knottrig blåslav (NT, T), kolflarnlav (NT, T), lavskrika (NT, T, §4), lunglav (NT, T), rosenticka (NT, T), rödbrun blekspik (NT, T), skrovellav (NT, T), stjärntagging (NT, T), talltagel (NT, T), tretåig hackspett (NT, T, §4), ullticka (NT, T), vedskivlav (NT, T), vedtrappmossa (NT, T), violettgrå tagellav (NT, T), blodticka (S, T), bårdlav (S, T), korallrot (S, T, §8), källpraktmossa (S, T), luddlav (S, T), norrlandslav (S, T), plattlummer (S, T, §9), skinnlav (S, T), spindelblomster (S, T, §8), stuplav (S, T), ögonpyrola (S, T), bergsslok (T), brudborste (T), ekbräken (T), grå renlav (T), hultbräken (T), nordisk stormhatt (T), ormbär (T),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