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området Juvtábákte utvidgning S i Arjeplogs kommun</w:t>
      </w:r>
    </w:p>
    <w:p>
      <w:r>
        <w:t>Denna tillsynsbegäran behandlar höga naturvärden i området Juvtábákte utvidgning S i Arjeplogs kommun som inkom 2026-07-20 och omfattar 143,0 ha.</w:t>
      </w:r>
    </w:p>
    <w:p>
      <w:pPr>
        <w:pStyle w:val="Caption"/>
      </w:pPr>
      <w:r>
        <w:drawing>
          <wp:inline xmlns:a="http://schemas.openxmlformats.org/drawingml/2006/main" xmlns:pic="http://schemas.openxmlformats.org/drawingml/2006/picture">
            <wp:extent cx="5486400" cy="2982641"/>
            <wp:docPr id="1" name="Picture 1"/>
            <wp:cNvGraphicFramePr>
              <a:graphicFrameLocks noChangeAspect="1"/>
            </wp:cNvGraphicFramePr>
            <a:graphic>
              <a:graphicData uri="http://schemas.openxmlformats.org/drawingml/2006/picture">
                <pic:pic>
                  <pic:nvPicPr>
                    <pic:cNvPr id="0" name="Juvtábákte utvidgning S karta.png"/>
                    <pic:cNvPicPr/>
                  </pic:nvPicPr>
                  <pic:blipFill>
                    <a:blip r:embed="rId16"/>
                    <a:stretch>
                      <a:fillRect/>
                    </a:stretch>
                  </pic:blipFill>
                  <pic:spPr>
                    <a:xfrm>
                      <a:off x="0" y="0"/>
                      <a:ext cx="5486400" cy="2982641"/>
                    </a:xfrm>
                    <a:prstGeom prst="rect"/>
                  </pic:spPr>
                </pic:pic>
              </a:graphicData>
            </a:graphic>
          </wp:inline>
        </w:drawing>
      </w:r>
    </w:p>
    <w:p>
      <w:pPr>
        <w:pStyle w:val="Caption"/>
        <w:spacing w:after="240"/>
      </w:pPr>
      <w:r>
        <w:t>Figur 1. Fyndplatser för naturvårdsarter i och inom 11 meter från området. Markörer utan svart kant är placerade på fyndplatsen. Markörer med svart kant är placerade vid sidan av fyndplatsen och har ett svart streck som visar fyndplatsens exakta position. Kartans mittpunktskoordinat är N 7334273, E 612838 i SWEREF 99 TM.</w:t>
      </w:r>
    </w:p>
    <w:p>
      <w:r>
        <w:t>I och inom 11 meter från området finns fynd av 17 naturvårdsarter, varav 9 är rödlistade, 9 är fridlysta, 11 är typiska (T) och 4 är signalarter (S): blå taggsvamp (NT, T), dropptaggsvamp (NT, T), lappmes (NT, T, §4), lavskrika (NT, T, §4), skarp dropptaggsvamp (NT), stickelfrö (NT), talltagel (NT, T), tretåig hackspett (NT, T, §4), ullticka (NT, T), nordlig fjädermossa (S), plattlummer (S, T, §9), spindelblomster (S, T, §8), ögonpyrola (S, T), mattlummer (T, §9), brudsporre (§8),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området och föreningens inlaga (se 34 § förvaltningslagen).</w:t>
      </w:r>
    </w:p>
    <w:p>
      <w:pPr>
        <w:pStyle w:val="Heading1"/>
      </w:pPr>
      <w:r>
        <w:t>Naturvårdsarter och fridlysta arter</w:t>
      </w:r>
    </w:p>
    <w:p>
      <w:r>
        <w:t>Nedan följer beskrivningar av de naturvårdsarter och fridlysta arter som har sina livsmiljöer och växtplatser i den aktuella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Mattlummer (§9)</w:t>
      </w:r>
      <w:r>
        <w:t xml:space="preserve">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aktuella skogen: blå taggsvamp (NT, T), dropptaggsvamp (NT, T), lappmes (NT, T, §4), lavskrika (NT, T, §4), talltagel (NT, T), tretåig hackspett (NT, T, §4), ullticka (NT, T), plattlummer (S, T, §9), spindelblomster (S, T, §8), ögonpyrola (S, T) och mattlummer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