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23 naturvårdsarter, varav 20 är rödlistade, 2 är fridlysta, 9 är typiska (T) och 2 är signalarter (S): kritporing (CR), fläckporing (VU, T), gräddporing (VU, T), gränsticka (VU, T), Lecidea subhumida (VU), nordlig parasitporing (VU), smalfotad taggsvamp (VU), tallstocksticka (VU), blanksvart spiklav (NT), blågrå svartspik (NT), dvärgbägarlav (NT, T), knottrig blåslav (NT, T), kortskaftad ärgspik (NT), mörk kolflarnlav (NT), nordtagging (NT), skarp dropptaggsvamp (NT), tallriska (NT), talltagel (NT, T), vedskivlav (NT, T), vitplätt (NT),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