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Maskaure Maddagielas S, 27 ha i Arjeplogs kommun</w:t>
      </w:r>
    </w:p>
    <w:p>
      <w:r>
        <w:t>Denna tillsynsbegäran behandlar höga naturvärden i området Maskaure Maddagielas S, 27 ha i Arjeplogs kommun som inkom 2026-07-20 och omfattar 26,3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Maskaure Maddagielas S, 27 ha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7291704, E 635416 i SWEREF 99 TM.</w:t>
      </w:r>
    </w:p>
    <w:p>
      <w:r>
        <w:t>I området finns fynd av 13 naturvårdsarter, varav 10 är rödlistade, 3 är fridlysta, 13 är typiska (T) och 2 är signalarter (S): garnlav (VU, T), gammelgransskål (NT, T), harticka (NT, T), knottrig blåslav (NT, T), lavskrika (NT, T, §4), rosenticka (NT, T), talltagel (NT, T), tallticka (NT, T), tretåig hackspett (NT, T, §4), ullticka (NT, T), plattlummer (S, T, §9), vedticka (S, T) och grå renlav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garnlav (VU, T), gammelgransskål (NT, T), harticka (NT, T), knottrig blåslav (NT, T), lavskrika (NT, T, §4), rosenticka (NT, T), talltagel (NT, T), tallticka (NT, T), tretåig hackspett (NT, T, §4), ullticka (NT, T), plattlummer (S, T, §9), vedticka (S, T) och grå renlav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