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082325"/>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08232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57 naturvårdsarter, varav 37 är rödlistade, 10 är fridlysta, 39 är typiska (T) och 11 är signalarter (S): doftticka (VU, T, §8), fläckporing (VU, T), garnlav (VU, T), gräddporing (VU, T), knärot (VU, T, §8), Lecidea subhumida (VU), smalfotad taggsvamp (VU), blanksvart spiklav (NT), blågrå svartspik (NT), brunpudrad nållav (NT, T), dropptaggsvamp (NT, T), dvärgbägarlav (NT, T), gullmurkling (NT), harticka (NT, T), knottrig blåslav (NT, T), kolflarnlav (NT, T), kortskaftad ärgspik (NT), lavskrika (NT, T, §4), liten svartspik (NT), lunglav (NT, T), mörk kolflarnlav (NT), nordtagging (NT), rosenticka (NT, T), rutspindling (NT), skrovellav (NT, T), talltagel (NT, T), talltaggsvamp (NT),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11 fyndplatser för knärot registrerade på Artportalen. Figur 2 visar gränserna för buffertzoner på 50 m, som behöver lämnas kring fyndplatserna för att knärotslokalerna inte ska försvinna vid en avverkning. Av det aktuella området överlappar 3.47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