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9338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9338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71 naturvårdsarter, varav 42 är rödlistade, 11 är fridlysta, 47 är typiska (T) och 14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rynkskinn (NT, T), rödbrun blekspik (NT, T), skrovellav (NT, T), stjärntagging (NT, T), talltita (NT, §4), tretåig hackspett (NT, T, §4), ullticka (NT, T), vedflamlav (NT), vedskivlav (NT, T), vitgrynig nållav (NT), blodticka (S, T), bårdlav (S, T), finbräken (S, T), grönkulla (S, T, §8), gulnål (S, T), korallrot (S, T, §8), källpraktmossa (S, T), luddlav (S, T), rostfläck (S, T), spindelblomster (S, T, §8), stuplav (S, T), tibast (S, T), vedticka (S, T), ögonpyrola (S, T), bergsslok (T), brudborste (T), ekbräken (T), humleblomster (T), kransmossa (T), kärrfibbla (T), lundarv (T), nordisk stormhatt (T), ormbär (T), spillkråka (T, §4), tjäder (T, §4), torta (T), vanlig groda (§6),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källpraktmossa (S, T), luddlav (S, T), rostfläck (S, T), spindelblomster (S, T, §8), stuplav (S, T), tibast (S, T), vedticka (S, T), ögonpyrola (S, T), bergsslok (T), brudborste (T), ekbräken (T), humleblomster (T), kransmossa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