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51796"/>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5179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58 naturvårdsarter, varav 37 är rödlistade, 11 är fridlysta, 40 är typiska (T) och 11 är signalarter (S): doftticka (VU, T, §8), fläckporing (VU, T), garnlav (VU, T), gräddporing (VU, T), knärot (VU, T, §8), Lecidea subhumida (VU), smalfotad taggsvamp (VU), blanksvart spiklav (NT),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22 fyndplatser för knärot registrerade på Artportalen. Figur 2 visar gränserna för buffertzoner på 50 m, som behöver lämnas kring fyndplatserna för att knärotslokalerna inte ska försvinna vid en avverkning. Av det aktuella området överlappar 7.17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knärot (VU, T, §8), brunpudrad nållav (NT, T), dropptaggsvamp (NT, T), dvärgbägarlav (NT, T), harticka (NT, T), knottrig blåslav (NT, T), kolflarnlav (NT, T), lavskrika (NT, T, §4), lunglav (NT, T), rosenticka (NT, T), skrovellav (NT, T), stjärntagging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bergsslok (T), brudborste (T), ekbräken (T), grå renlav (T), hultbräken (T), nordisk stormhatt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