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Maskaure Maddagielas N, 68,3 ha i Arjeplogs kommun</w:t>
      </w:r>
    </w:p>
    <w:p>
      <w:r>
        <w:t>Denna tillsynsbegäran behandlar höga naturvärden i området Maskaure Maddagielas N, 68,3 ha i Arjeplogs kommun som inkom 2026-07-20 och omfattar 68,2 ha.</w:t>
      </w:r>
    </w:p>
    <w:p>
      <w:pPr>
        <w:pStyle w:val="Caption"/>
      </w:pPr>
      <w:r>
        <w:drawing>
          <wp:inline xmlns:a="http://schemas.openxmlformats.org/drawingml/2006/main" xmlns:pic="http://schemas.openxmlformats.org/drawingml/2006/picture">
            <wp:extent cx="5107893" cy="5724000"/>
            <wp:docPr id="1" name="Picture 1"/>
            <wp:cNvGraphicFramePr>
              <a:graphicFrameLocks noChangeAspect="1"/>
            </wp:cNvGraphicFramePr>
            <a:graphic>
              <a:graphicData uri="http://schemas.openxmlformats.org/drawingml/2006/picture">
                <pic:pic>
                  <pic:nvPicPr>
                    <pic:cNvPr id="0" name="Maskaure Maddagielas N, 68,3 ha karta.png"/>
                    <pic:cNvPicPr/>
                  </pic:nvPicPr>
                  <pic:blipFill>
                    <a:blip r:embed="rId16"/>
                    <a:stretch>
                      <a:fillRect/>
                    </a:stretch>
                  </pic:blipFill>
                  <pic:spPr>
                    <a:xfrm>
                      <a:off x="0" y="0"/>
                      <a:ext cx="5107893" cy="5724000"/>
                    </a:xfrm>
                    <a:prstGeom prst="rect"/>
                  </pic:spPr>
                </pic:pic>
              </a:graphicData>
            </a:graphic>
          </wp:inline>
        </w:drawing>
      </w:r>
    </w:p>
    <w:p>
      <w:pPr>
        <w:pStyle w:val="Caption"/>
        <w:spacing w:after="240"/>
      </w:pPr>
      <w:r>
        <w:t>Figur 1. Fyndplatser för naturvårdsarter i och inom 18 meter från området. Markörer utan svart kant är placerade på fyndplatsen. Markörer med svart kant är placerade vid sidan av fyndplatsen har ett svart streck som visar fyndplatsens exakta position. Kartans mittpunktskoordinat är N 7292530, E 634655 i SWEREF 99 TM.</w:t>
      </w:r>
    </w:p>
    <w:p>
      <w:r>
        <w:t>I och inom 18 meter från området finns fynd av 41 naturvårdsarter, varav 25 är rödlistade, 11 är fridlysta, 25 är typiska (T) och 10 är signalarter (S): blackticka (VU), garnlav (VU, T), gränsticka (VU, T), Lecidea subhumida (VU), sprickporing (VU), blanksvart spiklav (NT), blågrå svartspik (NT), brunpudrad nållav (NT, T), gammelgransskål (NT, T), grå blåbärsfältmätare (NT), harticka (NT, T), knottrig blåslav (NT, T), kortskaftad ärgspik (NT), lavskrika (NT, T, §4), liten svartspik (NT), mörk kolflarnlav (NT), rosenticka (NT, T), talltita (NT, §4), tretåig hackspett (NT, T, §4), ullticka (NT, T), vedflamlav (NT), vedskivlav (NT, T), vedtrappmossa (NT, T), vitgrynig nållav (NT), älg (NT), blodticka (S, T), bårdlav (S, T), korallrot (S, T, §8), luddlav (S, T), norrlandslav (S, T), plattlummer (S, T, §9), spindelblomster (S, T, §8), stuplav (S, T), vedticka (S, T), ögonpyrola (S, T), spillkråka (T, §4), timmerticka (T), tjäder (T, §4), vanlig groda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garnlav (VU, T), gränsticka (VU, T), brunpudrad nållav (NT, T), gammelgransskål (NT, T), harticka (NT, T), knottrig blåslav (NT, T), lavskrika (NT, T, §4), rosenticka (NT, T), tretåig hackspett (NT, T, §4), ullticka (NT, T), vedskivlav (NT, T), vedtrappmossa (NT, T), blodticka (S, T), bårdlav (S, T), korallrot (S, T, §8), luddlav (S, T), norrlandslav (S, T), plattlummer (S, T, §9), spindelblomster (S, T, §8), stuplav (S, T), vedticka (S, T), ögonpyrola (S, T), spillkråka (T, §4), timmerticka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